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cs="Times New Roman"/>
          <w:color w:val="auto"/>
          <w:kern w:val="0"/>
          <w:sz w:val="44"/>
          <w:szCs w:val="44"/>
          <w:lang w:eastAsia="zh-CN"/>
        </w:rPr>
      </w:pPr>
      <w:r>
        <w:rPr>
          <w:rFonts w:hint="eastAsia" w:eastAsia="方正小标宋简体" w:cs="Times New Roman"/>
          <w:color w:val="auto"/>
          <w:kern w:val="0"/>
          <w:sz w:val="44"/>
          <w:szCs w:val="44"/>
          <w:lang w:eastAsia="zh-CN"/>
        </w:rPr>
        <w:t>202</w:t>
      </w:r>
      <w:r>
        <w:rPr>
          <w:rFonts w:hint="default" w:eastAsia="方正小标宋简体" w:cs="Times New Roman"/>
          <w:color w:val="auto"/>
          <w:kern w:val="0"/>
          <w:sz w:val="44"/>
          <w:szCs w:val="44"/>
          <w:lang w:val="en"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eastAsia" w:eastAsia="方正小标宋简体" w:cs="Times New Roman"/>
          <w:color w:val="auto"/>
          <w:kern w:val="0"/>
          <w:sz w:val="44"/>
          <w:szCs w:val="44"/>
          <w:lang w:eastAsia="zh-CN"/>
        </w:rPr>
        <w:t>专项债券（二十五至</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lang w:eastAsia="zh-CN"/>
        </w:rPr>
        <w:t>三十期）</w:t>
      </w: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专项债券（二十五至三十期）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65.9589</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全部为新增债券，期限为7年、10年、15年、20年、30年。7年期债券利息按年支付，其余债券利息按半年支付。</w:t>
      </w:r>
      <w:r>
        <w:rPr>
          <w:rFonts w:hint="eastAsia" w:ascii="Times New Roman" w:hAnsi="Times New Roman" w:eastAsia="仿宋_GB2312" w:cs="Times New Roman"/>
          <w:color w:val="auto"/>
          <w:sz w:val="32"/>
          <w:szCs w:val="32"/>
          <w:highlight w:val="none"/>
          <w:lang w:val="en-US" w:eastAsia="zh-CN"/>
        </w:rPr>
        <w:t>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债券发行后可按规定在全国银行间债券市场和证券交易所债券市场上市流通。各期债券具体情况详见《四川省财政厅关于发行2026年四川省政府专项债券（二十五至三十期）有关事项的通知》。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专项债券（</w:t>
      </w:r>
      <w:r>
        <w:rPr>
          <w:rFonts w:hint="default" w:ascii="Times New Roman" w:hAnsi="Times New Roman" w:eastAsia="仿宋_GB2312" w:cs="Times New Roman"/>
          <w:color w:val="auto"/>
          <w:sz w:val="32"/>
          <w:szCs w:val="32"/>
          <w:highlight w:val="none"/>
        </w:rPr>
        <w:t>二十五至三十期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w:t>
      </w:r>
      <w:r>
        <w:rPr>
          <w:rFonts w:hint="default" w:ascii="Times New Roman" w:hAnsi="Times New Roman" w:eastAsia="仿宋_GB2312" w:cs="Times New Roman"/>
          <w:w w:val="97"/>
          <w:sz w:val="32"/>
          <w:szCs w:val="32"/>
          <w:highlight w:val="none"/>
        </w:rPr>
        <w:t>标日通过财政部</w:t>
      </w:r>
      <w:r>
        <w:rPr>
          <w:rFonts w:hint="eastAsia" w:ascii="Times New Roman" w:hAnsi="Times New Roman" w:eastAsia="仿宋_GB2312" w:cs="Times New Roman"/>
          <w:w w:val="97"/>
          <w:sz w:val="32"/>
          <w:szCs w:val="32"/>
          <w:highlight w:val="none"/>
          <w:lang w:eastAsia="zh-CN"/>
        </w:rPr>
        <w:t>政府</w:t>
      </w:r>
      <w:r>
        <w:rPr>
          <w:rFonts w:hint="default" w:ascii="Times New Roman" w:hAnsi="Times New Roman" w:eastAsia="仿宋_GB2312" w:cs="Times New Roman"/>
          <w:w w:val="97"/>
          <w:sz w:val="32"/>
          <w:szCs w:val="32"/>
          <w:highlight w:val="none"/>
        </w:rPr>
        <w:t>债券发行系统组织招投标工作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2024-2026年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关于印发〈四川省政府债券招标发行规则〉的通知》《四川省财政厅关于发行2026年四川省政府专项债券（二十五至三十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rPr>
        <w:t>按照财政部要求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专项债券纳入政府性基金预算管理</w:t>
      </w:r>
      <w:r>
        <w:rPr>
          <w:rFonts w:hint="default" w:ascii="Times New Roman" w:hAnsi="Times New Roman" w:eastAsia="仿宋_GB2312" w:cs="Times New Roman"/>
          <w:sz w:val="32"/>
          <w:szCs w:val="32"/>
          <w:lang w:val="en-US" w:eastAsia="zh-CN"/>
        </w:rPr>
        <w:t>。本批新增</w:t>
      </w:r>
      <w:r>
        <w:rPr>
          <w:rFonts w:hint="default" w:ascii="Times New Roman" w:hAnsi="Times New Roman" w:eastAsia="仿宋_GB2312" w:cs="Times New Roman"/>
          <w:sz w:val="32"/>
          <w:szCs w:val="32"/>
        </w:rPr>
        <w:t>专项债券</w:t>
      </w:r>
      <w:r>
        <w:rPr>
          <w:rFonts w:hint="eastAsia" w:cs="Times New Roman"/>
          <w:sz w:val="32"/>
          <w:szCs w:val="32"/>
          <w:lang w:eastAsia="zh-CN"/>
        </w:rPr>
        <w:t>（</w:t>
      </w:r>
      <w:r>
        <w:rPr>
          <w:rFonts w:hint="default" w:ascii="Times New Roman" w:hAnsi="Times New Roman" w:eastAsia="仿宋_GB2312" w:cs="Times New Roman"/>
          <w:color w:val="auto"/>
          <w:sz w:val="32"/>
          <w:szCs w:val="32"/>
          <w:highlight w:val="none"/>
        </w:rPr>
        <w:t>二十五至三十期</w:t>
      </w:r>
      <w:r>
        <w:rPr>
          <w:rFonts w:hint="eastAsia" w:cs="Times New Roman"/>
          <w:sz w:val="32"/>
          <w:szCs w:val="32"/>
          <w:lang w:eastAsia="zh-CN"/>
        </w:rPr>
        <w:t>）</w:t>
      </w:r>
      <w:r>
        <w:rPr>
          <w:rFonts w:hint="default" w:ascii="Times New Roman" w:hAnsi="Times New Roman" w:eastAsia="仿宋_GB2312" w:cs="Times New Roman"/>
          <w:sz w:val="32"/>
          <w:szCs w:val="32"/>
        </w:rPr>
        <w:t>债券项目情况详见附件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二十五至三十期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二十五至三十期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个五年规划纲要》已经四川省第十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届人民代表大会第</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次会议批准。“十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将坚持马克思列宁主义、毛泽东思想、邓小平理论、“三个代表”重要思想、科学发展观，全面贯彻习近平新时代中国特色社会主义思想，深入贯彻党的二十大和二十届历次全会精神，坚定落实习近平总书记对四川工作系列重要指示精神，统筹推进“五位一体”总体布局，协调推进“四个全面”战略布局，完整准确全面贯彻新发展理念，坚持稳中求进工作总基调，坚持以经济建设为中心，以推动高质量发展为主题，以改革创新为根本动力，以满足人民日益增长的美好生活需要为根本目的，以全面从严治党为根本保障，深入实施“四化同步、城乡融合、五区共兴”发展战略，主动服务国家战略全局，更好融入新发展格局，推动经济实现质的有效提升和量的合理增长，推动共同富裕迈出坚实步伐，确保四川基本实现社会主义现代化取得决定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经济社会发展的主要目标是：建设现代化经济强省取得重要进展。经济增速保持高于全国平均水平。打造西部地区创新高地取得重要进展。创新体系整体效能持续提升，科技创新策源功能显著增强，一批关键核心技术取得突破，科技成果转化效率大幅提升，教育科技人才一体发展格局基本形成。区域城乡协调发展取得重要进展。成渝地区双城经济圈加快成为全国高质量发展增长极，五区共兴发展成效显著。建设新时代改革开放新高地取得重要进展。进一步全面深化改革任务如期完成，一批标志性引领性改革取得重大突破。社会文明进步取得重要进展。社会主义核心价值观广泛践行，社会文明风尚更加浓厚，人民精神文化生活更加丰富，四川文化软实力显著增强，习近平文化思想实践新高地建设加快推进。创造高品质生活取得重要进展。高质量充分就业局面加快形成，居民收入增长和经济增长同步，分配结构得到优化，城乡居民收入比进一步降低。公共服务体系更加健全，社会保障制度更加优化更可持续。美丽四川建设取得重要进展。生态环境持续改善，重点领域绿色低碳转型步伐加快，2030年前碳达峰目标如期实现，维护国家生态安全的战略屏障更加巩固，美丽中国先行区建设扎实推进。统筹发展和安全取得重要进展。保障国家重要初级产品供给战略基地加快建设，重点领域风险有效防范化解，平安四川建设达到更高水平，社会治理和公共安全治理水平明显提高，治理体系和治理能力现代化水平迈上新台阶。</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在此基础上再奋斗五年，到</w:t>
      </w:r>
      <w:r>
        <w:rPr>
          <w:rFonts w:hint="eastAsia" w:ascii="Times New Roman" w:hAnsi="Times New Roman" w:eastAsia="仿宋_GB2312" w:cs="Times New Roman"/>
          <w:color w:val="auto"/>
          <w:sz w:val="32"/>
          <w:szCs w:val="32"/>
          <w:highlight w:val="none"/>
          <w:lang w:val="en-US" w:eastAsia="zh-CN"/>
        </w:rPr>
        <w:t>2035年实现全省经济实力、科技实力和综合竞争力大幅跃升，基本建成现代化经济强省，人民生活更加幸福安逸，与全国同步基本实现社会主义现代化。</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个五年规划纲要》具体内容参见四川省</w:t>
      </w:r>
      <w:r>
        <w:rPr>
          <w:rFonts w:hint="eastAsia"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3</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5</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qlGHh1gAAAAcBAAAPAAAAAAAAAAEAIAAAADgAAABkcnMvZG93&#10;bnJldi54bWxQSwECFAAUAAAACACHTuJA0nhSa+wBAACxAwAADgAAAAAAAAABACAAAAA7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722" w:type="dxa"/>
            <w:gridSpan w:val="2"/>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c>
          <w:tcPr>
            <w:tcW w:w="1534" w:type="dxa"/>
            <w:gridSpan w:val="3"/>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5</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64697.0</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ascii="Times New Roman" w:hAnsi="Times New Roman" w:eastAsia="仿宋_GB2312" w:cs="Times New Roman"/>
                <w:b w:val="0"/>
                <w:color w:val="000000"/>
                <w:sz w:val="24"/>
                <w:szCs w:val="24"/>
                <w:lang w:val="en-US" w:eastAsia="zh-CN"/>
              </w:rPr>
              <w:t>67665.34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US" w:eastAsia="zh-CN"/>
              </w:rPr>
              <w:t>6.0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5.7</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5619.9</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5751.35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22816.9</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23260.22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36260.2</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38653.77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noWrap/>
            <w:vAlign w:val="center"/>
          </w:tcPr>
          <w:p>
            <w:pPr>
              <w:spacing w:line="400" w:lineRule="exact"/>
              <w:ind w:left="640" w:leftChars="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b w:val="0"/>
                <w:color w:val="000000"/>
                <w:sz w:val="24"/>
                <w:szCs w:val="24"/>
                <w:lang w:val="en-US" w:eastAsia="zh-CN"/>
              </w:rPr>
              <w:t>10318.1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6177.7</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6086.5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4279.5</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4231.6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27709.8</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ascii="Times New Roman" w:hAnsi="Times New Roman" w:eastAsia="仿宋_GB2312" w:cs="Times New Roman"/>
                <w:b w:val="0"/>
                <w:color w:val="000000"/>
                <w:sz w:val="24"/>
                <w:szCs w:val="24"/>
                <w:lang w:val="en-US" w:eastAsia="zh-CN"/>
              </w:rPr>
              <w:t>29135.4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49</w:t>
            </w:r>
            <w:r>
              <w:rPr>
                <w:rFonts w:hint="eastAsia" w:cs="Times New Roman"/>
                <w:kern w:val="2"/>
                <w:sz w:val="24"/>
                <w:szCs w:val="24"/>
                <w:highlight w:val="none"/>
                <w:lang w:val="en-US" w:eastAsia="zh-CN" w:bidi="ar-S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22494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97.9</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97.3</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13.3</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11.7</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noWrap w:val="0"/>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noWrap w:val="0"/>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4" name="直接箭头连接符 4"/>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0VycJdcAAAAIAQAADwAAAAAAAAABACAAAAA4AAAAZHJzL2Rv&#10;d25yZXYueG1sUEsBAhQAFAAAAAgAh07iQMAHk/vsAQAAsQMAAA4AAAAAAAAAAQAgAAAAPAEAAGRy&#10;cy9lMm9Eb2MueG1sUEsFBgAAAAAGAAYAWQEAAJo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w:t>
            </w:r>
          </w:p>
        </w:tc>
        <w:tc>
          <w:tcPr>
            <w:tcW w:w="2213" w:type="dxa"/>
            <w:gridSpan w:val="3"/>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c>
          <w:tcPr>
            <w:tcW w:w="2130" w:type="dxa"/>
            <w:gridSpan w:val="4"/>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6</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noWrap w:val="0"/>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noWrap w:val="0"/>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noWrap w:val="0"/>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noWrap w:val="0"/>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975.7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5635.6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1018.0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5853.9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1030.0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2241.9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13447.2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2281.6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13697.6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2425.7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14136.9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7863.7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9803.1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7792.8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9764.1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7201.8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8060.4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7197.8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929.7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7330.9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844.8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6577.7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031"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131.9 </w:t>
            </w:r>
          </w:p>
        </w:tc>
        <w:tc>
          <w:tcPr>
            <w:tcW w:w="1113" w:type="dxa"/>
            <w:gridSpan w:val="3"/>
            <w:noWrap w:val="0"/>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3761.2 </w:t>
            </w:r>
          </w:p>
        </w:tc>
        <w:tc>
          <w:tcPr>
            <w:tcW w:w="1087"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139.0 </w:t>
            </w:r>
          </w:p>
        </w:tc>
        <w:tc>
          <w:tcPr>
            <w:tcW w:w="112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3789.3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128.0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160.8 </w:t>
            </w:r>
          </w:p>
        </w:tc>
        <w:tc>
          <w:tcPr>
            <w:tcW w:w="1113" w:type="dxa"/>
            <w:gridSpan w:val="3"/>
            <w:noWrap w:val="0"/>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6025.5 </w:t>
            </w:r>
          </w:p>
        </w:tc>
        <w:tc>
          <w:tcPr>
            <w:tcW w:w="1087"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112.7 </w:t>
            </w:r>
          </w:p>
        </w:tc>
        <w:tc>
          <w:tcPr>
            <w:tcW w:w="112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5918.6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112.6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5700.8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113" w:type="dxa"/>
            <w:gridSpan w:val="3"/>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087"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112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noWrap/>
            <w:vAlign w:val="center"/>
          </w:tcPr>
          <w:p>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31.3</w:t>
            </w:r>
          </w:p>
        </w:tc>
        <w:tc>
          <w:tcPr>
            <w:tcW w:w="1113" w:type="dxa"/>
            <w:gridSpan w:val="3"/>
            <w:noWrap w:val="0"/>
            <w:vAlign w:val="center"/>
          </w:tcPr>
          <w:p>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201.8</w:t>
            </w:r>
          </w:p>
        </w:tc>
        <w:tc>
          <w:tcPr>
            <w:tcW w:w="1087" w:type="dxa"/>
            <w:gridSpan w:val="2"/>
            <w:noWrap/>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33.7</w:t>
            </w:r>
          </w:p>
        </w:tc>
        <w:tc>
          <w:tcPr>
            <w:tcW w:w="1126" w:type="dxa"/>
            <w:noWrap w:val="0"/>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227</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28</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noWrap/>
            <w:vAlign w:val="center"/>
          </w:tcPr>
          <w:p>
            <w:pPr>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16.4</w:t>
            </w:r>
          </w:p>
        </w:tc>
        <w:tc>
          <w:tcPr>
            <w:tcW w:w="1113" w:type="dxa"/>
            <w:gridSpan w:val="3"/>
            <w:noWrap w:val="0"/>
            <w:vAlign w:val="center"/>
          </w:tcPr>
          <w:p>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90.8</w:t>
            </w:r>
          </w:p>
        </w:tc>
        <w:tc>
          <w:tcPr>
            <w:tcW w:w="1087" w:type="dxa"/>
            <w:gridSpan w:val="2"/>
            <w:noWrap/>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20.0</w:t>
            </w:r>
          </w:p>
        </w:tc>
        <w:tc>
          <w:tcPr>
            <w:tcW w:w="1126" w:type="dxa"/>
            <w:noWrap w:val="0"/>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92.6</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19.7</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ascii="Times New Roman" w:hAnsi="Times New Roman" w:eastAsia="仿宋_GB2312"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82.8</w:t>
            </w:r>
          </w:p>
        </w:tc>
        <w:tc>
          <w:tcPr>
            <w:tcW w:w="1113" w:type="dxa"/>
            <w:gridSpan w:val="3"/>
            <w:noWrap w:val="0"/>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731.7</w:t>
            </w:r>
          </w:p>
        </w:tc>
        <w:tc>
          <w:tcPr>
            <w:tcW w:w="1087" w:type="dxa"/>
            <w:gridSpan w:val="2"/>
            <w:noWrap/>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109.4</w:t>
            </w:r>
          </w:p>
        </w:tc>
        <w:tc>
          <w:tcPr>
            <w:tcW w:w="1126" w:type="dxa"/>
            <w:noWrap w:val="0"/>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1009.8</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103.5</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720.6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13" w:type="dxa"/>
            <w:gridSpan w:val="3"/>
            <w:noWrap w:val="0"/>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1977.4</w:t>
            </w:r>
          </w:p>
        </w:tc>
        <w:tc>
          <w:tcPr>
            <w:tcW w:w="1087" w:type="dxa"/>
            <w:gridSpan w:val="2"/>
            <w:noWrap/>
            <w:vAlign w:val="center"/>
          </w:tcPr>
          <w:p>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26" w:type="dxa"/>
            <w:noWrap w:val="0"/>
            <w:vAlign w:val="center"/>
          </w:tcPr>
          <w:p>
            <w:pPr>
              <w:widowControl/>
              <w:spacing w:line="240" w:lineRule="exact"/>
              <w:jc w:val="right"/>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1570.6</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0</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noWrap/>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年底地方政府债务余额</w:t>
            </w:r>
          </w:p>
        </w:tc>
        <w:tc>
          <w:tcPr>
            <w:tcW w:w="4993" w:type="dxa"/>
            <w:gridSpan w:val="9"/>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年地方政府债务限额</w:t>
            </w:r>
          </w:p>
        </w:tc>
        <w:tc>
          <w:tcPr>
            <w:tcW w:w="4993" w:type="dxa"/>
            <w:gridSpan w:val="9"/>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29635.7</w:t>
            </w:r>
          </w:p>
        </w:tc>
      </w:tr>
    </w:tbl>
    <w:p>
      <w:pPr>
        <w:pStyle w:val="4"/>
        <w:snapToGrid w:val="0"/>
        <w:spacing w:line="300" w:lineRule="exact"/>
        <w:ind w:left="735" w:hanging="735" w:hangingChars="350"/>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rPr>
        <w:t>注：1、经济数据</w:t>
      </w:r>
      <w:r>
        <w:rPr>
          <w:rFonts w:hint="default" w:ascii="Times New Roman" w:hAnsi="Times New Roman" w:eastAsia="仿宋_GB2312" w:cs="Times New Roman"/>
          <w:color w:val="000000"/>
          <w:highlight w:val="none"/>
          <w:lang w:eastAsia="zh-CN"/>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highlight w:val="none"/>
        </w:rPr>
        <w:t>2、财政数据中202</w:t>
      </w:r>
      <w:r>
        <w:rPr>
          <w:rFonts w:hint="eastAsia" w:ascii="Times New Roman" w:hAnsi="Times New Roman" w:eastAsia="仿宋_GB2312" w:cs="Times New Roman"/>
          <w:color w:val="000000"/>
          <w:highlight w:val="none"/>
          <w:lang w:val="en-US" w:eastAsia="zh-CN"/>
        </w:rPr>
        <w:t>4</w:t>
      </w:r>
      <w:r>
        <w:rPr>
          <w:rFonts w:hint="default" w:ascii="Times New Roman" w:hAnsi="Times New Roman" w:eastAsia="仿宋_GB2312" w:cs="Times New Roman"/>
          <w:color w:val="000000"/>
          <w:highlight w:val="none"/>
        </w:rPr>
        <w:t>年</w:t>
      </w:r>
      <w:r>
        <w:rPr>
          <w:rFonts w:hint="default" w:ascii="Times New Roman" w:hAnsi="Times New Roman" w:eastAsia="仿宋_GB2312" w:cs="Times New Roman"/>
          <w:color w:val="000000"/>
          <w:highlight w:val="none"/>
          <w:lang w:eastAsia="zh-CN"/>
        </w:rPr>
        <w:t>为决算数，</w:t>
      </w:r>
      <w:r>
        <w:rPr>
          <w:rFonts w:hint="default" w:ascii="Times New Roman" w:hAnsi="Times New Roman" w:eastAsia="仿宋_GB2312" w:cs="Times New Roman"/>
          <w:color w:val="000000"/>
          <w:highlight w:val="none"/>
          <w:lang w:val="en-US" w:eastAsia="zh-CN"/>
        </w:rPr>
        <w:t>202</w:t>
      </w:r>
      <w:r>
        <w:rPr>
          <w:rFonts w:hint="eastAsia" w:ascii="Times New Roman" w:hAnsi="Times New Roman" w:eastAsia="仿宋_GB2312" w:cs="Times New Roman"/>
          <w:color w:val="000000"/>
          <w:highlight w:val="none"/>
          <w:lang w:val="en-US" w:eastAsia="zh-CN"/>
        </w:rPr>
        <w:t>5</w:t>
      </w:r>
      <w:r>
        <w:rPr>
          <w:rFonts w:hint="default" w:ascii="Times New Roman" w:hAnsi="Times New Roman" w:eastAsia="仿宋_GB2312" w:cs="Times New Roman"/>
          <w:color w:val="000000"/>
          <w:highlight w:val="none"/>
          <w:lang w:val="en-US" w:eastAsia="zh-CN"/>
        </w:rPr>
        <w:t>年</w:t>
      </w:r>
      <w:r>
        <w:rPr>
          <w:rFonts w:hint="default" w:ascii="Times New Roman" w:hAnsi="Times New Roman" w:eastAsia="仿宋_GB2312" w:cs="Times New Roman"/>
          <w:color w:val="000000"/>
          <w:highlight w:val="none"/>
        </w:rPr>
        <w:t>为</w:t>
      </w:r>
      <w:r>
        <w:rPr>
          <w:rFonts w:hint="eastAsia" w:ascii="Times New Roman" w:hAnsi="Times New Roman" w:eastAsia="仿宋_GB2312" w:cs="Times New Roman"/>
          <w:color w:val="000000"/>
          <w:highlight w:val="none"/>
          <w:lang w:eastAsia="zh-CN"/>
        </w:rPr>
        <w:t>快报执行数</w:t>
      </w:r>
      <w:r>
        <w:rPr>
          <w:rFonts w:hint="default" w:ascii="Times New Roman" w:hAnsi="Times New Roman" w:eastAsia="仿宋_GB2312" w:cs="Times New Roman"/>
          <w:color w:val="000000"/>
          <w:highlight w:val="none"/>
          <w:lang w:eastAsia="zh-CN"/>
        </w:rPr>
        <w:t>，</w:t>
      </w:r>
      <w:r>
        <w:rPr>
          <w:rFonts w:hint="eastAsia" w:ascii="Times New Roman" w:hAnsi="Times New Roman" w:eastAsia="仿宋_GB2312" w:cs="Times New Roman"/>
          <w:color w:val="000000"/>
          <w:highlight w:val="none"/>
          <w:lang w:val="en-US" w:eastAsia="zh-CN"/>
        </w:rPr>
        <w:t>2026年</w:t>
      </w:r>
      <w:r>
        <w:rPr>
          <w:rFonts w:hint="default" w:ascii="Times New Roman" w:hAnsi="Times New Roman" w:eastAsia="仿宋_GB2312" w:cs="Times New Roman"/>
          <w:color w:val="000000"/>
          <w:highlight w:val="none"/>
          <w:lang w:val="en-US" w:eastAsia="zh-CN"/>
        </w:rPr>
        <w:t>为预算数</w:t>
      </w:r>
      <w:r>
        <w:rPr>
          <w:rFonts w:hint="default" w:ascii="Times New Roman" w:hAnsi="Times New Roman" w:eastAsia="仿宋_GB2312" w:cs="Times New Roman"/>
          <w:color w:val="000000"/>
          <w:highlight w:val="none"/>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28015</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29635.7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8739.4</w:t>
      </w:r>
      <w:r>
        <w:rPr>
          <w:rFonts w:hint="default" w:ascii="Times New Roman" w:hAnsi="Times New Roman" w:eastAsia="仿宋_GB2312" w:cs="Times New Roman"/>
          <w:color w:val="auto"/>
          <w:sz w:val="32"/>
          <w:szCs w:val="32"/>
          <w:highlight w:val="none"/>
          <w:lang w:val="en-US" w:eastAsia="zh-CN"/>
        </w:rPr>
        <w:t>亿元，余</w:t>
      </w:r>
      <w:r>
        <w:rPr>
          <w:rFonts w:hint="eastAsia" w:ascii="Times New Roman" w:hAnsi="Times New Roman" w:eastAsia="仿宋_GB2312" w:cs="Times New Roman"/>
          <w:color w:val="auto"/>
          <w:sz w:val="32"/>
          <w:szCs w:val="32"/>
          <w:highlight w:val="none"/>
          <w:lang w:val="en-US" w:eastAsia="zh-CN"/>
        </w:rPr>
        <w:t>额8515.5</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20896.3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19499.5</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1546.1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 w:eastAsia="zh-CN"/>
        </w:rPr>
        <w:t>50.6</w:t>
      </w:r>
      <w:r>
        <w:rPr>
          <w:rFonts w:hint="default" w:ascii="Times New Roman" w:hAnsi="Times New Roman" w:eastAsia="仿宋_GB2312" w:cs="Times New Roman"/>
          <w:color w:val="auto"/>
          <w:sz w:val="32"/>
          <w:szCs w:val="32"/>
          <w:highlight w:val="none"/>
          <w:lang w:val="en-US" w:eastAsia="zh-CN"/>
        </w:rPr>
        <w:t>亿元；市级债务限额</w:t>
      </w:r>
      <w:r>
        <w:rPr>
          <w:rFonts w:hint="default" w:ascii="Times New Roman" w:hAnsi="Times New Roman" w:eastAsia="仿宋_GB2312" w:cs="Times New Roman"/>
          <w:color w:val="auto"/>
          <w:sz w:val="32"/>
          <w:szCs w:val="32"/>
          <w:highlight w:val="none"/>
          <w:lang w:val="en" w:eastAsia="zh-CN"/>
        </w:rPr>
        <w:t>8219.6</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7824</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default" w:ascii="Times New Roman" w:hAnsi="Times New Roman" w:eastAsia="仿宋_GB2312" w:cs="Times New Roman"/>
          <w:color w:val="auto"/>
          <w:sz w:val="32"/>
          <w:szCs w:val="32"/>
          <w:highlight w:val="none"/>
          <w:lang w:val="en" w:eastAsia="zh-CN"/>
        </w:rPr>
        <w:t>19870</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18740.4</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成达万铁路、向家坝灌区</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eastAsia="仿宋_GB2312" w:cs="Times New Roman"/>
          <w:sz w:val="32"/>
          <w:szCs w:val="24"/>
        </w:rPr>
      </w:pPr>
      <w:r>
        <w:rPr>
          <w:rFonts w:hint="default" w:ascii="Times New Roman" w:hAnsi="Times New Roman" w:cs="Times New Roman"/>
          <w:kern w:val="0"/>
          <w:sz w:val="32"/>
          <w:szCs w:val="32"/>
          <w:lang w:val="zh-CN"/>
        </w:rPr>
        <w:t>附件：1.</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color w:val="auto"/>
          <w:sz w:val="32"/>
          <w:szCs w:val="32"/>
          <w:highlight w:val="none"/>
        </w:rPr>
        <w:t>二十五至三十期</w:t>
      </w:r>
      <w:r>
        <w:rPr>
          <w:rFonts w:hint="default" w:ascii="Times New Roman" w:hAnsi="Times New Roman" w:eastAsia="仿宋_GB2312" w:cs="Times New Roman"/>
          <w:sz w:val="32"/>
          <w:szCs w:val="24"/>
        </w:rPr>
        <w:t>）</w:t>
      </w:r>
      <w:r>
        <w:rPr>
          <w:rFonts w:hint="eastAsia" w:cs="Times New Roman"/>
          <w:sz w:val="32"/>
          <w:szCs w:val="24"/>
          <w:lang w:eastAsia="zh-CN"/>
        </w:rPr>
        <w:t>各期</w:t>
      </w:r>
      <w:r>
        <w:rPr>
          <w:rFonts w:hint="default" w:ascii="Times New Roman" w:hAnsi="Times New Roman" w:eastAsia="仿宋_GB2312" w:cs="Times New Roman"/>
          <w:sz w:val="32"/>
          <w:szCs w:val="24"/>
        </w:rPr>
        <w:t>债券项目清单</w:t>
      </w:r>
    </w:p>
    <w:p>
      <w:pPr>
        <w:keepNext w:val="0"/>
        <w:keepLines w:val="0"/>
        <w:pageBreakBefore w:val="0"/>
        <w:kinsoku/>
        <w:wordWrap/>
        <w:overflowPunct/>
        <w:topLinePunct w:val="0"/>
        <w:autoSpaceDE/>
        <w:autoSpaceDN/>
        <w:bidi w:val="0"/>
        <w:adjustRightInd/>
        <w:snapToGrid/>
        <w:spacing w:line="530" w:lineRule="exact"/>
        <w:ind w:left="2070" w:leftChars="530" w:hanging="480" w:hangingChars="1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2.</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二十五至三十期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各期债券法律意见书</w:t>
      </w: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 xml:space="preserve">      3.</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二十五至三十期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各期债券财务评估报告</w:t>
      </w:r>
    </w:p>
    <w:p>
      <w:pPr>
        <w:pStyle w:val="2"/>
        <w:rPr>
          <w:rFonts w:hint="default"/>
          <w:lang w:val="zh-CN"/>
        </w:rPr>
      </w:pPr>
    </w:p>
    <w:p>
      <w:pPr>
        <w:pStyle w:val="2"/>
        <w:rPr>
          <w:rFonts w:hint="default"/>
        </w:rPr>
      </w:pPr>
    </w:p>
    <w:p>
      <w:pPr>
        <w:keepNext w:val="0"/>
        <w:keepLines w:val="0"/>
        <w:pageBreakBefore w:val="0"/>
        <w:kinsoku/>
        <w:wordWrap/>
        <w:overflowPunct/>
        <w:topLinePunct w:val="0"/>
        <w:autoSpaceDE/>
        <w:autoSpaceDN/>
        <w:bidi w:val="0"/>
        <w:adjustRightInd/>
        <w:snapToGrid/>
        <w:spacing w:line="580" w:lineRule="exact"/>
        <w:ind w:right="1551" w:rightChars="517"/>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1245" w:rightChars="415"/>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w:t>
      </w:r>
      <w:r>
        <w:rPr>
          <w:rFonts w:hint="default" w:cs="Times New Roman"/>
          <w:color w:val="auto"/>
          <w:sz w:val="32"/>
          <w:szCs w:val="32"/>
          <w:highlight w:val="none"/>
          <w:lang w:val="en" w:eastAsia="zh-CN"/>
        </w:rPr>
        <w:t>6</w:t>
      </w:r>
      <w:r>
        <w:rPr>
          <w:rFonts w:hint="eastAsia" w:cs="Times New Roman"/>
          <w:color w:val="auto"/>
          <w:sz w:val="32"/>
          <w:szCs w:val="32"/>
          <w:highlight w:val="none"/>
          <w:lang w:eastAsia="zh-CN"/>
        </w:rPr>
        <w:t>年</w:t>
      </w:r>
      <w:r>
        <w:rPr>
          <w:rFonts w:hint="eastAsia"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22</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7E50E92"/>
    <w:rsid w:val="0A18711E"/>
    <w:rsid w:val="0A365806"/>
    <w:rsid w:val="0AC319AC"/>
    <w:rsid w:val="0CC872A8"/>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2B8970"/>
    <w:rsid w:val="1F7F37F3"/>
    <w:rsid w:val="1FB95731"/>
    <w:rsid w:val="1FEF0EED"/>
    <w:rsid w:val="1FF86D77"/>
    <w:rsid w:val="273A1534"/>
    <w:rsid w:val="27EF5ADE"/>
    <w:rsid w:val="27FB4DFE"/>
    <w:rsid w:val="292BBD26"/>
    <w:rsid w:val="29447E57"/>
    <w:rsid w:val="2B5D29AE"/>
    <w:rsid w:val="2C335417"/>
    <w:rsid w:val="2D2F22EB"/>
    <w:rsid w:val="2DBF1862"/>
    <w:rsid w:val="2E7BB22E"/>
    <w:rsid w:val="2ED5C25D"/>
    <w:rsid w:val="2F7949F8"/>
    <w:rsid w:val="2FFB7B0E"/>
    <w:rsid w:val="33BD96C9"/>
    <w:rsid w:val="3478FD3B"/>
    <w:rsid w:val="35FD6B84"/>
    <w:rsid w:val="35FF6C41"/>
    <w:rsid w:val="35FFA103"/>
    <w:rsid w:val="365FE963"/>
    <w:rsid w:val="37D270A9"/>
    <w:rsid w:val="37F7809A"/>
    <w:rsid w:val="399565E0"/>
    <w:rsid w:val="3ADDA097"/>
    <w:rsid w:val="3B7E7D56"/>
    <w:rsid w:val="3BBE0F9A"/>
    <w:rsid w:val="3BCF7730"/>
    <w:rsid w:val="3BF725E0"/>
    <w:rsid w:val="3BFBF273"/>
    <w:rsid w:val="3BFD26E4"/>
    <w:rsid w:val="3BFF0771"/>
    <w:rsid w:val="3CFF72C5"/>
    <w:rsid w:val="3D9DD624"/>
    <w:rsid w:val="3DAB5EBA"/>
    <w:rsid w:val="3DEFA9F2"/>
    <w:rsid w:val="3DF3C86E"/>
    <w:rsid w:val="3E7B43AC"/>
    <w:rsid w:val="3E8D37BC"/>
    <w:rsid w:val="3ECAC84C"/>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FAF7337"/>
    <w:rsid w:val="4FFAE02C"/>
    <w:rsid w:val="4FFF460D"/>
    <w:rsid w:val="507F6372"/>
    <w:rsid w:val="536F073F"/>
    <w:rsid w:val="53731939"/>
    <w:rsid w:val="53E90DC1"/>
    <w:rsid w:val="54680721"/>
    <w:rsid w:val="54F3BD53"/>
    <w:rsid w:val="54FF9442"/>
    <w:rsid w:val="554D5EAC"/>
    <w:rsid w:val="573568B4"/>
    <w:rsid w:val="57BAD169"/>
    <w:rsid w:val="57DF3D15"/>
    <w:rsid w:val="57DFDC94"/>
    <w:rsid w:val="57EB7B42"/>
    <w:rsid w:val="57FD754E"/>
    <w:rsid w:val="57FEF054"/>
    <w:rsid w:val="57FF76F9"/>
    <w:rsid w:val="5B27C3AC"/>
    <w:rsid w:val="5BABDEC5"/>
    <w:rsid w:val="5BDFA3DF"/>
    <w:rsid w:val="5BEB01AA"/>
    <w:rsid w:val="5BFD30E1"/>
    <w:rsid w:val="5D5F4A20"/>
    <w:rsid w:val="5D7BF844"/>
    <w:rsid w:val="5DBFCF28"/>
    <w:rsid w:val="5DFB2A50"/>
    <w:rsid w:val="5E7F692A"/>
    <w:rsid w:val="5EDD40C0"/>
    <w:rsid w:val="5EDF67C8"/>
    <w:rsid w:val="5EFF05BA"/>
    <w:rsid w:val="5F1F31B7"/>
    <w:rsid w:val="5F3E4F45"/>
    <w:rsid w:val="5F6F13BD"/>
    <w:rsid w:val="5F6F1C9E"/>
    <w:rsid w:val="5F7E92C4"/>
    <w:rsid w:val="5FAB9A0B"/>
    <w:rsid w:val="5FE12A79"/>
    <w:rsid w:val="5FE56F25"/>
    <w:rsid w:val="5FEFBC4C"/>
    <w:rsid w:val="5FF876FE"/>
    <w:rsid w:val="5FFD044C"/>
    <w:rsid w:val="5FFFD7D0"/>
    <w:rsid w:val="5FFFFB39"/>
    <w:rsid w:val="60D82ACC"/>
    <w:rsid w:val="616B1851"/>
    <w:rsid w:val="626D2A76"/>
    <w:rsid w:val="62FEF3EA"/>
    <w:rsid w:val="63F53E4A"/>
    <w:rsid w:val="64112789"/>
    <w:rsid w:val="671013B3"/>
    <w:rsid w:val="69DC461E"/>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11552E"/>
    <w:rsid w:val="6E7B86E4"/>
    <w:rsid w:val="6EB788C1"/>
    <w:rsid w:val="6EBB229C"/>
    <w:rsid w:val="6EDE8759"/>
    <w:rsid w:val="6EDEF351"/>
    <w:rsid w:val="6EFA30DF"/>
    <w:rsid w:val="6EFE97D7"/>
    <w:rsid w:val="6F6FC48D"/>
    <w:rsid w:val="6F75BB17"/>
    <w:rsid w:val="6F7D0098"/>
    <w:rsid w:val="6FBF8D8F"/>
    <w:rsid w:val="6FCF9866"/>
    <w:rsid w:val="6FDD6BFC"/>
    <w:rsid w:val="6FDFA035"/>
    <w:rsid w:val="6FF52F76"/>
    <w:rsid w:val="6FFDD9A5"/>
    <w:rsid w:val="6FFF0B70"/>
    <w:rsid w:val="6FFFA9D8"/>
    <w:rsid w:val="7092126C"/>
    <w:rsid w:val="71775D74"/>
    <w:rsid w:val="71BA0C33"/>
    <w:rsid w:val="71F33F0B"/>
    <w:rsid w:val="72FF21FE"/>
    <w:rsid w:val="73577D8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7F7E95"/>
    <w:rsid w:val="777F8514"/>
    <w:rsid w:val="77BF985E"/>
    <w:rsid w:val="77EB0A30"/>
    <w:rsid w:val="77EFF97C"/>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7377E8"/>
    <w:rsid w:val="7DBF6886"/>
    <w:rsid w:val="7DBFA8D5"/>
    <w:rsid w:val="7DDDD8B2"/>
    <w:rsid w:val="7DDE0CEE"/>
    <w:rsid w:val="7DFC5C92"/>
    <w:rsid w:val="7DFE5D73"/>
    <w:rsid w:val="7DFF7E4E"/>
    <w:rsid w:val="7DFFDAF8"/>
    <w:rsid w:val="7E7E509B"/>
    <w:rsid w:val="7EB8A718"/>
    <w:rsid w:val="7ED7E27B"/>
    <w:rsid w:val="7EDC4E86"/>
    <w:rsid w:val="7EDE09CB"/>
    <w:rsid w:val="7EF2A455"/>
    <w:rsid w:val="7EF7AF70"/>
    <w:rsid w:val="7EF93DD2"/>
    <w:rsid w:val="7EFF3402"/>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FB9794"/>
    <w:rsid w:val="9FFC9604"/>
    <w:rsid w:val="9FFFDB11"/>
    <w:rsid w:val="A5FE2FD1"/>
    <w:rsid w:val="A67C683F"/>
    <w:rsid w:val="A7DBCE3C"/>
    <w:rsid w:val="ABBBED28"/>
    <w:rsid w:val="AD9F8C9A"/>
    <w:rsid w:val="ADEC83D2"/>
    <w:rsid w:val="ADFF10CC"/>
    <w:rsid w:val="AECFD7CF"/>
    <w:rsid w:val="AEFF80E1"/>
    <w:rsid w:val="AF7EFD40"/>
    <w:rsid w:val="AF9EA3A9"/>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7F0D62"/>
    <w:rsid w:val="D1F503FA"/>
    <w:rsid w:val="D3FF088E"/>
    <w:rsid w:val="D6BD08E7"/>
    <w:rsid w:val="D6EB119C"/>
    <w:rsid w:val="D6FDA787"/>
    <w:rsid w:val="D77A959F"/>
    <w:rsid w:val="D77F9707"/>
    <w:rsid w:val="D7B710EC"/>
    <w:rsid w:val="D97BE255"/>
    <w:rsid w:val="DACF21D7"/>
    <w:rsid w:val="DB5DBF45"/>
    <w:rsid w:val="DB7387A1"/>
    <w:rsid w:val="DBA799E2"/>
    <w:rsid w:val="DC7ABEE3"/>
    <w:rsid w:val="DC7F37B0"/>
    <w:rsid w:val="DC9E4C42"/>
    <w:rsid w:val="DD5FA653"/>
    <w:rsid w:val="DDC3496C"/>
    <w:rsid w:val="DDFB2394"/>
    <w:rsid w:val="DDFFCA22"/>
    <w:rsid w:val="DE77926B"/>
    <w:rsid w:val="DE7DE59B"/>
    <w:rsid w:val="DEE262E6"/>
    <w:rsid w:val="DEEFF9CF"/>
    <w:rsid w:val="DF3F2014"/>
    <w:rsid w:val="DF9FAA1C"/>
    <w:rsid w:val="DFBBD75C"/>
    <w:rsid w:val="DFD9770E"/>
    <w:rsid w:val="DFDD016C"/>
    <w:rsid w:val="DFDF029D"/>
    <w:rsid w:val="DFE61A72"/>
    <w:rsid w:val="DFF34AD3"/>
    <w:rsid w:val="DFF39B79"/>
    <w:rsid w:val="DFFB60A3"/>
    <w:rsid w:val="DFFD31B0"/>
    <w:rsid w:val="DFFF47CA"/>
    <w:rsid w:val="DFFFAE61"/>
    <w:rsid w:val="E2DB5A87"/>
    <w:rsid w:val="E5FC02D1"/>
    <w:rsid w:val="E6BB69F9"/>
    <w:rsid w:val="E6EF37CC"/>
    <w:rsid w:val="E72F10DC"/>
    <w:rsid w:val="E778A862"/>
    <w:rsid w:val="E7DF50C1"/>
    <w:rsid w:val="E87B70A2"/>
    <w:rsid w:val="E8D76BCE"/>
    <w:rsid w:val="E97F65EC"/>
    <w:rsid w:val="EADC83D7"/>
    <w:rsid w:val="EBDECC2E"/>
    <w:rsid w:val="ECEAAF28"/>
    <w:rsid w:val="EDBFD3AA"/>
    <w:rsid w:val="EDEF4004"/>
    <w:rsid w:val="EDFD232B"/>
    <w:rsid w:val="EDFE5F27"/>
    <w:rsid w:val="EDFFCF00"/>
    <w:rsid w:val="EE8AFE1C"/>
    <w:rsid w:val="EEFA5F6E"/>
    <w:rsid w:val="EF3FE0F5"/>
    <w:rsid w:val="EF5DC768"/>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FF8A7"/>
    <w:rsid w:val="F7D76496"/>
    <w:rsid w:val="F7DB7B04"/>
    <w:rsid w:val="F7EDAF2A"/>
    <w:rsid w:val="F7EEC0BA"/>
    <w:rsid w:val="F7F597CB"/>
    <w:rsid w:val="F7F65DAA"/>
    <w:rsid w:val="F7F715EE"/>
    <w:rsid w:val="F7FF61F0"/>
    <w:rsid w:val="F7FFD1F6"/>
    <w:rsid w:val="F8D04070"/>
    <w:rsid w:val="F8E8D507"/>
    <w:rsid w:val="F93B35A3"/>
    <w:rsid w:val="F9841BE9"/>
    <w:rsid w:val="F9FA1080"/>
    <w:rsid w:val="FA3D022F"/>
    <w:rsid w:val="FA7F6236"/>
    <w:rsid w:val="FABC5063"/>
    <w:rsid w:val="FB1FB846"/>
    <w:rsid w:val="FB770C10"/>
    <w:rsid w:val="FB7FE6B8"/>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67560"/>
    <w:rsid w:val="FEFB3EE1"/>
    <w:rsid w:val="FEFF92FD"/>
    <w:rsid w:val="FEFFF2F2"/>
    <w:rsid w:val="FF1FC617"/>
    <w:rsid w:val="FF4DFF11"/>
    <w:rsid w:val="FF4F0527"/>
    <w:rsid w:val="FF5BCBA9"/>
    <w:rsid w:val="FF5FD35F"/>
    <w:rsid w:val="FF7C733A"/>
    <w:rsid w:val="FF7F9D86"/>
    <w:rsid w:val="FF9C3594"/>
    <w:rsid w:val="FFAF580F"/>
    <w:rsid w:val="FFBB58BA"/>
    <w:rsid w:val="FFBBEB92"/>
    <w:rsid w:val="FFCEDCEE"/>
    <w:rsid w:val="FFD7A303"/>
    <w:rsid w:val="FFD7A69E"/>
    <w:rsid w:val="FFDB1E84"/>
    <w:rsid w:val="FFDD06B4"/>
    <w:rsid w:val="FFDE9A2D"/>
    <w:rsid w:val="FFE57E77"/>
    <w:rsid w:val="FFEB7DAB"/>
    <w:rsid w:val="FFEBD442"/>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4124</Words>
  <Characters>4891</Characters>
  <Lines>38</Lines>
  <Paragraphs>10</Paragraphs>
  <TotalTime>5</TotalTime>
  <ScaleCrop>false</ScaleCrop>
  <LinksUpToDate>false</LinksUpToDate>
  <CharactersWithSpaces>5006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2021-11-28T10:40:00Z</dcterms:created>
  <dc:creator>牟伶俐</dc:creator>
  <cp:lastModifiedBy>牟伶俐</cp:lastModifiedBy>
  <cp:lastPrinted>2026-06-22T19:54:00Z</cp:lastPrinted>
  <dcterms:modified xsi:type="dcterms:W3CDTF">2026-06-23T16:17:25Z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