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19F47">
      <w:pPr>
        <w:pStyle w:val="2"/>
        <w:rPr>
          <w:rFonts w:hint="default"/>
        </w:rPr>
      </w:pPr>
    </w:p>
    <w:p w14:paraId="25721ABB">
      <w:pPr>
        <w:rPr>
          <w:rFonts w:hint="default"/>
        </w:rPr>
      </w:pPr>
    </w:p>
    <w:p w14:paraId="2F5EE8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一般债券（三期）及专项债券（十八至二十三期）</w:t>
      </w:r>
      <w:r>
        <w:rPr>
          <w:rFonts w:hint="default" w:ascii="Times New Roman" w:hAnsi="Times New Roman" w:eastAsia="方正小标宋简体" w:cs="Times New Roman"/>
          <w:color w:val="auto"/>
          <w:sz w:val="44"/>
          <w:szCs w:val="44"/>
          <w:highlight w:val="none"/>
        </w:rPr>
        <w:t>信息披露文件</w:t>
      </w:r>
    </w:p>
    <w:p w14:paraId="0E17C7CA">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14:paraId="46C2C4B6">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14:paraId="7A8060D8">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14:paraId="169EEAEA">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一般债券（三期）及专项债券（十八至二十三期）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136.6666</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全部</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新增</w:t>
      </w:r>
      <w:r>
        <w:rPr>
          <w:rFonts w:hint="default" w:ascii="Times New Roman" w:hAnsi="Times New Roman" w:eastAsia="仿宋_GB2312" w:cs="Times New Roman"/>
          <w:color w:val="auto"/>
          <w:sz w:val="32"/>
          <w:szCs w:val="32"/>
        </w:rPr>
        <w:t>债券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5年、10年、15年、20年、30年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5年期</w:t>
      </w:r>
      <w:r>
        <w:rPr>
          <w:rFonts w:hint="default" w:ascii="Times New Roman" w:hAnsi="Times New Roman" w:eastAsia="仿宋_GB2312" w:cs="Times New Roman"/>
          <w:color w:val="auto"/>
          <w:sz w:val="32"/>
          <w:szCs w:val="32"/>
          <w:highlight w:val="none"/>
          <w:lang w:eastAsia="zh-CN"/>
        </w:rPr>
        <w:t>债券利息按年支付</w:t>
      </w:r>
      <w:r>
        <w:rPr>
          <w:rFonts w:hint="eastAsia" w:ascii="Times New Roman" w:hAnsi="Times New Roman" w:eastAsia="仿宋_GB2312" w:cs="Times New Roman"/>
          <w:color w:val="auto"/>
          <w:sz w:val="32"/>
          <w:szCs w:val="32"/>
          <w:highlight w:val="none"/>
          <w:lang w:eastAsia="zh-CN"/>
        </w:rPr>
        <w:t>，其余债券利息按半年支付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专项债券（二十三期）于2032年至2056年每年5月29日（节假日顺延、下同）偿还本金660万元（占发行总额的4%），已兑付本金自本金兑付日起不另计利息，其余债券到期后一次性偿还本金并支付最后一次利息。各期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再融资一般债券（四期）、再融资专项债券（八期）和2026年四川省政府一般债券（三期）、专项债券（十八至二十三期）有关事项的通知》。</w:t>
      </w:r>
    </w:p>
    <w:p w14:paraId="3C451050">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14:paraId="57DDE195">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w:t>
      </w:r>
      <w:r>
        <w:rPr>
          <w:rFonts w:hint="eastAsia"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三期</w:t>
      </w:r>
      <w:r>
        <w:rPr>
          <w:rFonts w:hint="eastAsia" w:ascii="Times New Roman" w:hAnsi="Times New Roman" w:eastAsia="仿宋_GB2312" w:cs="Times New Roman"/>
          <w:color w:val="auto"/>
          <w:sz w:val="32"/>
          <w:szCs w:val="32"/>
          <w:highlight w:val="none"/>
          <w:lang w:val="en" w:eastAsia="zh-CN"/>
        </w:rPr>
        <w:t>）及</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十八至二十三期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w:t>
      </w:r>
      <w:r>
        <w:rPr>
          <w:rFonts w:hint="default" w:ascii="Times New Roman" w:hAnsi="Times New Roman" w:eastAsia="仿宋_GB2312" w:cs="Times New Roman"/>
          <w:w w:val="97"/>
          <w:sz w:val="32"/>
          <w:szCs w:val="32"/>
          <w:highlight w:val="none"/>
        </w:rPr>
        <w:t>标日通过财政部上海证券交易所</w:t>
      </w:r>
      <w:r>
        <w:rPr>
          <w:rFonts w:hint="eastAsia" w:ascii="Times New Roman" w:hAnsi="Times New Roman" w:eastAsia="仿宋_GB2312" w:cs="Times New Roman"/>
          <w:w w:val="97"/>
          <w:sz w:val="32"/>
          <w:szCs w:val="32"/>
          <w:highlight w:val="none"/>
          <w:lang w:eastAsia="zh-CN"/>
        </w:rPr>
        <w:t>政府</w:t>
      </w:r>
      <w:r>
        <w:rPr>
          <w:rFonts w:hint="default" w:ascii="Times New Roman" w:hAnsi="Times New Roman" w:eastAsia="仿宋_GB2312" w:cs="Times New Roman"/>
          <w:w w:val="97"/>
          <w:sz w:val="32"/>
          <w:szCs w:val="32"/>
          <w:highlight w:val="none"/>
        </w:rPr>
        <w:t>债券发行系统组织招投标工作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四川省财政厅关于发行2026年四川省政府再融资一般债券（四期）、再融资专项债券（八期）和2026年四川省政府一般债券（三期）、专项债券（十八至二十三期）有关事项的通知》等。</w:t>
      </w:r>
    </w:p>
    <w:p w14:paraId="2D3C0FE9">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14:paraId="2920B34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rPr>
        <w:t>按照财政部要求</w:t>
      </w:r>
      <w:r>
        <w:rPr>
          <w:rFonts w:hint="default" w:ascii="Times New Roman" w:hAnsi="Times New Roman" w:eastAsia="仿宋_GB2312" w:cs="Times New Roman"/>
          <w:sz w:val="32"/>
          <w:szCs w:val="32"/>
          <w:lang w:eastAsia="zh-CN"/>
        </w:rPr>
        <w:t>，</w:t>
      </w:r>
      <w:r>
        <w:rPr>
          <w:rFonts w:hint="eastAsia" w:ascii="仿宋_GB2312"/>
          <w:color w:val="000000" w:themeColor="text1"/>
          <w:sz w:val="32"/>
          <w:szCs w:val="32"/>
          <w14:textFill>
            <w14:solidFill>
              <w14:schemeClr w14:val="tx1"/>
            </w14:solidFill>
          </w14:textFill>
        </w:rPr>
        <w:t>一般债券纳入一般公共预算管理</w:t>
      </w:r>
      <w:r>
        <w:rPr>
          <w:rFonts w:hint="eastAsia" w:ascii="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专项债券纳入政府性基金预算管理</w:t>
      </w:r>
      <w:r>
        <w:rPr>
          <w:rFonts w:hint="default" w:ascii="Times New Roman" w:hAnsi="Times New Roman" w:eastAsia="仿宋_GB2312" w:cs="Times New Roman"/>
          <w:sz w:val="32"/>
          <w:szCs w:val="32"/>
          <w:lang w:val="en-US" w:eastAsia="zh-CN"/>
        </w:rPr>
        <w:t>。</w:t>
      </w:r>
      <w:r>
        <w:rPr>
          <w:rFonts w:hint="eastAsia" w:ascii="仿宋_GB2312"/>
          <w:color w:val="000000" w:themeColor="text1"/>
          <w:sz w:val="32"/>
          <w:szCs w:val="32"/>
          <w14:textFill>
            <w14:solidFill>
              <w14:schemeClr w14:val="tx1"/>
            </w14:solidFill>
          </w14:textFill>
        </w:rPr>
        <w:t>本期</w:t>
      </w:r>
      <w:r>
        <w:rPr>
          <w:rFonts w:hint="eastAsia" w:ascii="仿宋_GB2312"/>
          <w:color w:val="000000" w:themeColor="text1"/>
          <w:sz w:val="32"/>
          <w:szCs w:val="32"/>
          <w:lang w:eastAsia="zh-CN"/>
          <w14:textFill>
            <w14:solidFill>
              <w14:schemeClr w14:val="tx1"/>
            </w14:solidFill>
          </w14:textFill>
        </w:rPr>
        <w:t>一般</w:t>
      </w:r>
      <w:r>
        <w:rPr>
          <w:rFonts w:hint="eastAsia" w:ascii="仿宋_GB2312"/>
          <w:color w:val="000000" w:themeColor="text1"/>
          <w:sz w:val="32"/>
          <w:szCs w:val="32"/>
          <w14:textFill>
            <w14:solidFill>
              <w14:schemeClr w14:val="tx1"/>
            </w14:solidFill>
          </w14:textFill>
        </w:rPr>
        <w:t>债券募集</w:t>
      </w:r>
      <w:r>
        <w:rPr>
          <w:rFonts w:hint="eastAsia" w:ascii="仿宋_GB2312"/>
          <w:color w:val="auto"/>
          <w:sz w:val="32"/>
          <w:szCs w:val="32"/>
        </w:rPr>
        <w:t>资金用于</w:t>
      </w:r>
      <w:r>
        <w:rPr>
          <w:rFonts w:hint="eastAsia" w:ascii="仿宋_GB2312"/>
          <w:color w:val="auto"/>
          <w:sz w:val="32"/>
          <w:szCs w:val="32"/>
          <w:highlight w:val="none"/>
          <w:lang w:eastAsia="zh-CN"/>
        </w:rPr>
        <w:t>交通基础设施、社会事业</w:t>
      </w:r>
      <w:r>
        <w:rPr>
          <w:rFonts w:hint="eastAsia" w:ascii="仿宋_GB2312"/>
          <w:color w:val="auto"/>
          <w:sz w:val="32"/>
          <w:szCs w:val="32"/>
          <w:highlight w:val="none"/>
        </w:rPr>
        <w:t>等</w:t>
      </w:r>
      <w:r>
        <w:rPr>
          <w:rFonts w:hint="eastAsia" w:ascii="仿宋_GB2312"/>
          <w:color w:val="auto"/>
          <w:sz w:val="32"/>
          <w:szCs w:val="32"/>
          <w:highlight w:val="none"/>
          <w:lang w:eastAsia="zh-CN"/>
        </w:rPr>
        <w:t>领域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本批新增</w:t>
      </w:r>
      <w:r>
        <w:rPr>
          <w:rFonts w:hint="default" w:ascii="Times New Roman" w:hAnsi="Times New Roman" w:eastAsia="仿宋_GB2312" w:cs="Times New Roman"/>
          <w:sz w:val="32"/>
          <w:szCs w:val="32"/>
        </w:rPr>
        <w:t>专项债券</w:t>
      </w:r>
      <w:r>
        <w:rPr>
          <w:rFonts w:hint="eastAsia" w:cs="Times New Roman"/>
          <w:sz w:val="32"/>
          <w:szCs w:val="32"/>
          <w:lang w:eastAsia="zh-CN"/>
        </w:rPr>
        <w:t>（</w:t>
      </w:r>
      <w:r>
        <w:rPr>
          <w:rFonts w:hint="default" w:ascii="Times New Roman" w:hAnsi="Times New Roman" w:eastAsia="仿宋_GB2312" w:cs="Times New Roman"/>
          <w:color w:val="auto"/>
          <w:sz w:val="32"/>
          <w:szCs w:val="32"/>
          <w:highlight w:val="none"/>
        </w:rPr>
        <w:t>十八至二十三期</w:t>
      </w:r>
      <w:r>
        <w:rPr>
          <w:rFonts w:hint="eastAsia" w:cs="Times New Roman"/>
          <w:sz w:val="32"/>
          <w:szCs w:val="32"/>
          <w:lang w:eastAsia="zh-CN"/>
        </w:rPr>
        <w:t>）</w:t>
      </w:r>
      <w:r>
        <w:rPr>
          <w:rFonts w:hint="default" w:ascii="Times New Roman" w:hAnsi="Times New Roman" w:eastAsia="仿宋_GB2312" w:cs="Times New Roman"/>
          <w:sz w:val="32"/>
          <w:szCs w:val="32"/>
        </w:rPr>
        <w:t>债券项目情况详见附件</w:t>
      </w:r>
      <w:r>
        <w:rPr>
          <w:rFonts w:hint="default" w:ascii="Times New Roman" w:hAnsi="Times New Roman" w:eastAsia="仿宋_GB2312" w:cs="Times New Roman"/>
          <w:sz w:val="32"/>
          <w:szCs w:val="32"/>
          <w:lang w:val="en-US" w:eastAsia="zh-CN"/>
        </w:rPr>
        <w:t>。</w:t>
      </w:r>
    </w:p>
    <w:p w14:paraId="3CD8E1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14:paraId="5383C0D7">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w:t>
      </w:r>
      <w:r>
        <w:rPr>
          <w:rFonts w:hint="default" w:ascii="Times New Roman" w:hAnsi="Times New Roman" w:eastAsia="仿宋_GB2312" w:cs="Times New Roman"/>
          <w:color w:val="auto"/>
          <w:sz w:val="32"/>
          <w:szCs w:val="32"/>
          <w:highlight w:val="none"/>
        </w:rPr>
        <w:t>三期</w:t>
      </w:r>
      <w:r>
        <w:rPr>
          <w:rFonts w:hint="eastAsia" w:ascii="Times New Roman" w:hAnsi="Times New Roman" w:eastAsia="仿宋_GB2312" w:cs="Times New Roman"/>
          <w:color w:val="auto"/>
          <w:sz w:val="32"/>
          <w:szCs w:val="32"/>
          <w:highlight w:val="none"/>
          <w:lang w:eastAsia="zh-CN"/>
        </w:rPr>
        <w:t>）及专项债券（</w:t>
      </w:r>
      <w:r>
        <w:rPr>
          <w:rFonts w:hint="default" w:ascii="Times New Roman" w:hAnsi="Times New Roman" w:eastAsia="仿宋_GB2312" w:cs="Times New Roman"/>
          <w:color w:val="auto"/>
          <w:sz w:val="32"/>
          <w:szCs w:val="32"/>
          <w:highlight w:val="none"/>
        </w:rPr>
        <w:t>十八至二十三期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w:t>
      </w:r>
      <w:r>
        <w:rPr>
          <w:rFonts w:hint="default" w:ascii="Times New Roman" w:hAnsi="Times New Roman" w:eastAsia="仿宋_GB2312" w:cs="Times New Roman"/>
          <w:color w:val="auto"/>
          <w:sz w:val="32"/>
          <w:szCs w:val="32"/>
          <w:highlight w:val="none"/>
        </w:rPr>
        <w:t>三期</w:t>
      </w:r>
      <w:r>
        <w:rPr>
          <w:rFonts w:hint="eastAsia" w:ascii="Times New Roman" w:hAnsi="Times New Roman" w:eastAsia="仿宋_GB2312" w:cs="Times New Roman"/>
          <w:color w:val="auto"/>
          <w:sz w:val="32"/>
          <w:szCs w:val="32"/>
          <w:highlight w:val="none"/>
          <w:lang w:eastAsia="zh-CN"/>
        </w:rPr>
        <w:t>）及专项债券（</w:t>
      </w:r>
      <w:r>
        <w:rPr>
          <w:rFonts w:hint="default" w:ascii="Times New Roman" w:hAnsi="Times New Roman" w:eastAsia="仿宋_GB2312" w:cs="Times New Roman"/>
          <w:color w:val="auto"/>
          <w:sz w:val="32"/>
          <w:szCs w:val="32"/>
          <w:highlight w:val="none"/>
        </w:rPr>
        <w:t>十八至二十三期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14:paraId="219F75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14:paraId="01735CD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个五年规划纲要》已经四川省第十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届人民代表大会第</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次会议批准。“十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将坚持马克思列宁主义、毛泽东思想、邓小平理论、“三个代表”重要思想、科学发展观，全面贯彻习近平新时代中国特色社会主义思想，深入贯彻党的二十大和二十届历次全会精神，坚定落实习近平总书记对四川工作系列重要指示精神，统筹推进“五位一体”总体布局，协调推进“四个全面”战略布局，完整准确全面贯彻新发展理念，坚持稳中求进工作总基调，坚持以经济建设为中心，以推动高质量发展为主题，以改革创新为根本动力，以满足人民日益增长的美好生活需要为根本目的，以全面从严治党为根本保障，深入实施“四化同步、城乡融合、五区共兴”发展战略，主动服务国家战略全局，更好融入新发展格局，推动经济实现质的有效提升和量的合理增长，推动共同富裕迈出坚实步伐，确保四川基本实现社会主义现代化取得决定性进展。</w:t>
      </w:r>
    </w:p>
    <w:p w14:paraId="1869D50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经济社会发展的主要目标是：建设现代化经济强省取得重要进展。经济增速保持高于全国平均水平。打造西部地区创新高地取得重要进展。创新体系整体效能持续提升，科技创新策源功能显著增强，一批关键核心技术取得突破，科技成果转化效率大幅提升，教育科技人才一体发展格局基本形成。区域城乡协调发展取得重要进展。成渝地区双城经济圈加快成为全国高质量发展增长极，五区共兴发展成效显著。建设新时代改革开放新高地取得重要进展。进一步全面深化改革任务如期完成，一批标志性引领性改革取得重大突破。社会文明进步取得重要进展。社会主义核心价值观广泛践行，社会文明风尚更加浓厚，人民精神文化生活更加丰富，四川文化软实力显著增强，习近平文化思想实践新高地建设加快推进。创造高品质生活取得重要进展。高质量充分就业局面加快形成，居民收入增长和经济增长同步，分配结构得到优化，城乡居民收入比进一步降低。公共服务体系更加健全，社会保障制度更加优化更可持续。美丽四川建设取得重要进展。生态环境持续改善，重点领域绿色低碳转型步伐加快，2030年前碳达峰目标如期实现，维护国家生态安全的战略屏障更加巩固，美丽中国先行区建设扎实推进。统筹发展和安全取得重要进展。保障国家重要初级产品供给战略基地加快建设，重点领域风险有效防范化解，平安四川建设达到更高水平，社会治理和公共安全治理水平明显提高，治理体系和治理能力现代化水平迈上新台阶。</w:t>
      </w:r>
    </w:p>
    <w:p w14:paraId="5E810D7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在此基础上再奋斗五年，到</w:t>
      </w:r>
      <w:r>
        <w:rPr>
          <w:rFonts w:hint="eastAsia" w:ascii="Times New Roman" w:hAnsi="Times New Roman" w:eastAsia="仿宋_GB2312" w:cs="Times New Roman"/>
          <w:color w:val="auto"/>
          <w:sz w:val="32"/>
          <w:szCs w:val="32"/>
          <w:highlight w:val="none"/>
          <w:lang w:val="en-US" w:eastAsia="zh-CN"/>
        </w:rPr>
        <w:t>2035年实现全省经济实力、科技实力和综合竞争力大幅跃升，基本建成现代化经济强省，人民生活更加幸福安逸，与全国同步基本实现社会主义现代化。</w:t>
      </w:r>
    </w:p>
    <w:p w14:paraId="0FEE9E25">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个五年规划纲要》具体内容参见四川省</w:t>
      </w:r>
      <w:r>
        <w:rPr>
          <w:rFonts w:hint="eastAsia"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网站。</w:t>
      </w:r>
    </w:p>
    <w:p w14:paraId="546177B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14:paraId="36D0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noWrap/>
            <w:vAlign w:val="center"/>
          </w:tcPr>
          <w:p w14:paraId="2CA4FFD6">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14:paraId="33D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noWrap/>
            <w:vAlign w:val="center"/>
          </w:tcPr>
          <w:p w14:paraId="568A92C7">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3</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5</w:t>
            </w:r>
            <w:r>
              <w:rPr>
                <w:rFonts w:hint="default" w:ascii="Times New Roman" w:hAnsi="Times New Roman" w:cs="Times New Roman"/>
                <w:b/>
                <w:kern w:val="0"/>
                <w:sz w:val="24"/>
                <w:highlight w:val="none"/>
              </w:rPr>
              <w:t>年经济基本状况</w:t>
            </w:r>
          </w:p>
        </w:tc>
      </w:tr>
      <w:tr w14:paraId="52B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noWrap/>
            <w:vAlign w:val="center"/>
          </w:tcPr>
          <w:p w14:paraId="336242C3">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&#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lGHh1gAAAAcBAAAPAAAAAAAAAAEAIAAAACIAAABk&#10;cnMvZG93bnJldi54bWxQSwECFAAUAAAACACHTuJAqaV8JQgCAAD/AwAADgAAAAAAAAABACAAAAAl&#10;AQAAZHJzL2Uyb0RvYy54bWxQSwUGAAAAAAYABgBZAQAAnwU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14:paraId="7FFFB6F2">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noWrap/>
            <w:vAlign w:val="center"/>
          </w:tcPr>
          <w:p w14:paraId="422447CD">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722" w:type="dxa"/>
            <w:gridSpan w:val="2"/>
            <w:noWrap/>
            <w:vAlign w:val="center"/>
          </w:tcPr>
          <w:p w14:paraId="50C745CD">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c>
          <w:tcPr>
            <w:tcW w:w="1534" w:type="dxa"/>
            <w:gridSpan w:val="3"/>
            <w:noWrap/>
            <w:vAlign w:val="center"/>
          </w:tcPr>
          <w:p w14:paraId="45A01BD5">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5</w:t>
            </w:r>
            <w:r>
              <w:rPr>
                <w:rFonts w:hint="default" w:ascii="Times New Roman" w:hAnsi="Times New Roman" w:cs="Times New Roman"/>
                <w:kern w:val="0"/>
                <w:sz w:val="24"/>
                <w:highlight w:val="none"/>
                <w:lang w:val="en" w:eastAsia="zh-CN"/>
              </w:rPr>
              <w:t>年</w:t>
            </w:r>
          </w:p>
        </w:tc>
      </w:tr>
      <w:tr w14:paraId="3DC7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D772FAB">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noWrap/>
            <w:vAlign w:val="center"/>
          </w:tcPr>
          <w:p w14:paraId="0E513D2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722" w:type="dxa"/>
            <w:gridSpan w:val="2"/>
            <w:noWrap/>
            <w:vAlign w:val="center"/>
          </w:tcPr>
          <w:p w14:paraId="1350902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64697.0</w:t>
            </w:r>
          </w:p>
        </w:tc>
        <w:tc>
          <w:tcPr>
            <w:tcW w:w="1534" w:type="dxa"/>
            <w:gridSpan w:val="3"/>
            <w:noWrap/>
            <w:vAlign w:val="center"/>
          </w:tcPr>
          <w:p w14:paraId="4D7AB727">
            <w:pPr>
              <w:spacing w:line="400" w:lineRule="exact"/>
              <w:jc w:val="right"/>
              <w:rPr>
                <w:rFonts w:hint="default" w:ascii="Times New Roman" w:hAnsi="Times New Roman" w:eastAsia="仿宋_GB2312" w:cs="Times New Roman"/>
                <w:sz w:val="24"/>
                <w:highlight w:val="none"/>
                <w:lang w:val="en" w:eastAsia="zh-CN"/>
              </w:rPr>
            </w:pPr>
            <w:r>
              <w:rPr>
                <w:rFonts w:hint="eastAsia" w:ascii="Times New Roman" w:hAnsi="Times New Roman" w:eastAsia="仿宋_GB2312" w:cs="Times New Roman"/>
                <w:b w:val="0"/>
                <w:color w:val="000000"/>
                <w:sz w:val="24"/>
                <w:szCs w:val="24"/>
                <w:lang w:val="en-US" w:eastAsia="zh-CN"/>
              </w:rPr>
              <w:t>67665.34</w:t>
            </w:r>
          </w:p>
        </w:tc>
      </w:tr>
      <w:tr w14:paraId="10C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19165BB">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noWrap/>
            <w:vAlign w:val="center"/>
          </w:tcPr>
          <w:p w14:paraId="36BF3A3C">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US" w:eastAsia="zh-CN"/>
              </w:rPr>
              <w:t>6.0</w:t>
            </w:r>
          </w:p>
        </w:tc>
        <w:tc>
          <w:tcPr>
            <w:tcW w:w="1722" w:type="dxa"/>
            <w:gridSpan w:val="2"/>
            <w:noWrap/>
            <w:vAlign w:val="center"/>
          </w:tcPr>
          <w:p w14:paraId="7C67BC1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5.7</w:t>
            </w:r>
          </w:p>
        </w:tc>
        <w:tc>
          <w:tcPr>
            <w:tcW w:w="1534" w:type="dxa"/>
            <w:gridSpan w:val="3"/>
            <w:noWrap/>
            <w:vAlign w:val="center"/>
          </w:tcPr>
          <w:p w14:paraId="645CDB50">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5.5</w:t>
            </w:r>
          </w:p>
        </w:tc>
      </w:tr>
      <w:tr w14:paraId="286C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65AA21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noWrap/>
            <w:vAlign w:val="center"/>
          </w:tcPr>
          <w:p w14:paraId="4A551C32">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722" w:type="dxa"/>
            <w:gridSpan w:val="2"/>
            <w:noWrap/>
            <w:vAlign w:val="center"/>
          </w:tcPr>
          <w:p w14:paraId="5DA074CF">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5619.9</w:t>
            </w:r>
          </w:p>
        </w:tc>
        <w:tc>
          <w:tcPr>
            <w:tcW w:w="1534" w:type="dxa"/>
            <w:gridSpan w:val="3"/>
            <w:noWrap/>
            <w:vAlign w:val="center"/>
          </w:tcPr>
          <w:p w14:paraId="28C3CBF0">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5751.35</w:t>
            </w:r>
          </w:p>
        </w:tc>
      </w:tr>
      <w:tr w14:paraId="45A7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31BAC49E">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noWrap/>
            <w:vAlign w:val="center"/>
          </w:tcPr>
          <w:p w14:paraId="3EDF019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722" w:type="dxa"/>
            <w:gridSpan w:val="2"/>
            <w:noWrap/>
            <w:vAlign w:val="center"/>
          </w:tcPr>
          <w:p w14:paraId="0CC087F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22816.9</w:t>
            </w:r>
          </w:p>
        </w:tc>
        <w:tc>
          <w:tcPr>
            <w:tcW w:w="1534" w:type="dxa"/>
            <w:gridSpan w:val="3"/>
            <w:noWrap/>
            <w:vAlign w:val="center"/>
          </w:tcPr>
          <w:p w14:paraId="32F65D0C">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23260.22</w:t>
            </w:r>
          </w:p>
        </w:tc>
      </w:tr>
      <w:tr w14:paraId="1356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3A10A40F">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noWrap/>
            <w:vAlign w:val="center"/>
          </w:tcPr>
          <w:p w14:paraId="4DE0695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722" w:type="dxa"/>
            <w:gridSpan w:val="2"/>
            <w:noWrap/>
            <w:vAlign w:val="center"/>
          </w:tcPr>
          <w:p w14:paraId="5E451AC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36260.2</w:t>
            </w:r>
          </w:p>
        </w:tc>
        <w:tc>
          <w:tcPr>
            <w:tcW w:w="1534" w:type="dxa"/>
            <w:gridSpan w:val="3"/>
            <w:noWrap/>
            <w:vAlign w:val="center"/>
          </w:tcPr>
          <w:p w14:paraId="38B0A1C9">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38653.77</w:t>
            </w:r>
          </w:p>
        </w:tc>
      </w:tr>
      <w:tr w14:paraId="4A8B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1237911C">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noWrap/>
            <w:vAlign w:val="center"/>
          </w:tcPr>
          <w:p w14:paraId="2A122754">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noWrap/>
            <w:vAlign w:val="center"/>
          </w:tcPr>
          <w:p w14:paraId="4F610FCC">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noWrap/>
            <w:vAlign w:val="center"/>
          </w:tcPr>
          <w:p w14:paraId="336505C3">
            <w:pPr>
              <w:spacing w:line="400" w:lineRule="exact"/>
              <w:ind w:left="640" w:leftChars="0"/>
              <w:jc w:val="right"/>
              <w:rPr>
                <w:rFonts w:hint="default" w:ascii="Times New Roman" w:hAnsi="Times New Roman" w:eastAsia="仿宋_GB2312" w:cs="Times New Roman"/>
                <w:sz w:val="24"/>
                <w:highlight w:val="none"/>
              </w:rPr>
            </w:pPr>
          </w:p>
        </w:tc>
      </w:tr>
      <w:tr w14:paraId="5A7F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D55E82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noWrap/>
            <w:vAlign w:val="center"/>
          </w:tcPr>
          <w:p w14:paraId="2B43E9AE">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722" w:type="dxa"/>
            <w:gridSpan w:val="2"/>
            <w:noWrap/>
            <w:vAlign w:val="center"/>
          </w:tcPr>
          <w:p w14:paraId="23AE7589">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c>
          <w:tcPr>
            <w:tcW w:w="1534" w:type="dxa"/>
            <w:gridSpan w:val="3"/>
            <w:noWrap/>
            <w:vAlign w:val="center"/>
          </w:tcPr>
          <w:p w14:paraId="764A257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8.5</w:t>
            </w:r>
          </w:p>
        </w:tc>
      </w:tr>
      <w:tr w14:paraId="7E8D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5B3539B2">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noWrap/>
            <w:vAlign w:val="center"/>
          </w:tcPr>
          <w:p w14:paraId="35E365A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722" w:type="dxa"/>
            <w:gridSpan w:val="2"/>
            <w:noWrap/>
            <w:vAlign w:val="center"/>
          </w:tcPr>
          <w:p w14:paraId="7143A55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c>
          <w:tcPr>
            <w:tcW w:w="1534" w:type="dxa"/>
            <w:gridSpan w:val="3"/>
            <w:noWrap/>
            <w:vAlign w:val="center"/>
          </w:tcPr>
          <w:p w14:paraId="3017BD9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34.4</w:t>
            </w:r>
          </w:p>
        </w:tc>
      </w:tr>
      <w:tr w14:paraId="4F03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41DF6757">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noWrap/>
            <w:vAlign w:val="center"/>
          </w:tcPr>
          <w:p w14:paraId="34570FD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722" w:type="dxa"/>
            <w:gridSpan w:val="2"/>
            <w:noWrap/>
            <w:vAlign w:val="center"/>
          </w:tcPr>
          <w:p w14:paraId="26960F2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c>
          <w:tcPr>
            <w:tcW w:w="1534" w:type="dxa"/>
            <w:gridSpan w:val="3"/>
            <w:noWrap/>
            <w:vAlign w:val="center"/>
          </w:tcPr>
          <w:p w14:paraId="3EE4C32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57.1</w:t>
            </w:r>
          </w:p>
        </w:tc>
      </w:tr>
      <w:tr w14:paraId="4FE0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37FB714">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noWrap/>
            <w:vAlign w:val="center"/>
          </w:tcPr>
          <w:p w14:paraId="03CCEC9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722" w:type="dxa"/>
            <w:gridSpan w:val="2"/>
            <w:noWrap/>
            <w:vAlign w:val="center"/>
          </w:tcPr>
          <w:p w14:paraId="25AD648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c>
          <w:tcPr>
            <w:tcW w:w="1534" w:type="dxa"/>
            <w:gridSpan w:val="3"/>
            <w:noWrap/>
            <w:vAlign w:val="center"/>
          </w:tcPr>
          <w:p w14:paraId="4E01F70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-2.4</w:t>
            </w:r>
          </w:p>
        </w:tc>
      </w:tr>
      <w:tr w14:paraId="2F1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3224092F">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noWrap/>
            <w:vAlign w:val="center"/>
          </w:tcPr>
          <w:p w14:paraId="03658DC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722" w:type="dxa"/>
            <w:gridSpan w:val="2"/>
            <w:noWrap/>
            <w:vAlign w:val="center"/>
          </w:tcPr>
          <w:p w14:paraId="7C61961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c>
          <w:tcPr>
            <w:tcW w:w="1534" w:type="dxa"/>
            <w:gridSpan w:val="3"/>
            <w:noWrap/>
            <w:vAlign w:val="center"/>
          </w:tcPr>
          <w:p w14:paraId="2E20FA55">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b w:val="0"/>
                <w:color w:val="000000"/>
                <w:sz w:val="24"/>
                <w:szCs w:val="24"/>
                <w:lang w:val="en-US" w:eastAsia="zh-CN"/>
              </w:rPr>
              <w:t>10318.1</w:t>
            </w:r>
          </w:p>
        </w:tc>
      </w:tr>
      <w:tr w14:paraId="5CA8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846473A">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noWrap/>
            <w:vAlign w:val="center"/>
          </w:tcPr>
          <w:p w14:paraId="37AE869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722" w:type="dxa"/>
            <w:gridSpan w:val="2"/>
            <w:noWrap/>
            <w:vAlign w:val="center"/>
          </w:tcPr>
          <w:p w14:paraId="1765775A">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6177.7</w:t>
            </w:r>
          </w:p>
        </w:tc>
        <w:tc>
          <w:tcPr>
            <w:tcW w:w="1534" w:type="dxa"/>
            <w:gridSpan w:val="3"/>
            <w:noWrap/>
            <w:vAlign w:val="center"/>
          </w:tcPr>
          <w:p w14:paraId="27F88E22">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6086.5</w:t>
            </w:r>
          </w:p>
        </w:tc>
      </w:tr>
      <w:tr w14:paraId="036D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0A3229A">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noWrap/>
            <w:vAlign w:val="center"/>
          </w:tcPr>
          <w:p w14:paraId="5992B26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722" w:type="dxa"/>
            <w:gridSpan w:val="2"/>
            <w:noWrap/>
            <w:vAlign w:val="center"/>
          </w:tcPr>
          <w:p w14:paraId="6D4A5BAA">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4279.5</w:t>
            </w:r>
          </w:p>
        </w:tc>
        <w:tc>
          <w:tcPr>
            <w:tcW w:w="1534" w:type="dxa"/>
            <w:gridSpan w:val="3"/>
            <w:noWrap/>
            <w:vAlign w:val="center"/>
          </w:tcPr>
          <w:p w14:paraId="05D9E4F5">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4231.6</w:t>
            </w:r>
          </w:p>
        </w:tc>
      </w:tr>
      <w:tr w14:paraId="499A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10F64DF4">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noWrap/>
            <w:vAlign w:val="center"/>
          </w:tcPr>
          <w:p w14:paraId="4549367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722" w:type="dxa"/>
            <w:gridSpan w:val="2"/>
            <w:noWrap/>
            <w:vAlign w:val="center"/>
          </w:tcPr>
          <w:p w14:paraId="6F13DA12">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27709.8</w:t>
            </w:r>
          </w:p>
        </w:tc>
        <w:tc>
          <w:tcPr>
            <w:tcW w:w="1534" w:type="dxa"/>
            <w:gridSpan w:val="3"/>
            <w:noWrap/>
            <w:vAlign w:val="center"/>
          </w:tcPr>
          <w:p w14:paraId="29147CDF">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ascii="Times New Roman" w:hAnsi="Times New Roman" w:eastAsia="仿宋_GB2312" w:cs="Times New Roman"/>
                <w:b w:val="0"/>
                <w:color w:val="000000"/>
                <w:sz w:val="24"/>
                <w:szCs w:val="24"/>
                <w:lang w:val="en-US" w:eastAsia="zh-CN"/>
              </w:rPr>
              <w:t>29135.4</w:t>
            </w:r>
          </w:p>
        </w:tc>
      </w:tr>
      <w:tr w14:paraId="5611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33E5C9D0">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noWrap/>
            <w:vAlign w:val="center"/>
          </w:tcPr>
          <w:p w14:paraId="54541CC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722" w:type="dxa"/>
            <w:gridSpan w:val="2"/>
            <w:noWrap/>
            <w:vAlign w:val="center"/>
          </w:tcPr>
          <w:p w14:paraId="2115645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w:t>
            </w:r>
          </w:p>
        </w:tc>
        <w:tc>
          <w:tcPr>
            <w:tcW w:w="1534" w:type="dxa"/>
            <w:gridSpan w:val="3"/>
            <w:noWrap/>
            <w:vAlign w:val="center"/>
          </w:tcPr>
          <w:p w14:paraId="6426381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49</w:t>
            </w:r>
            <w:r>
              <w:rPr>
                <w:rFonts w:hint="eastAsia" w:cs="Times New Roman"/>
                <w:kern w:val="2"/>
                <w:sz w:val="24"/>
                <w:szCs w:val="24"/>
                <w:highlight w:val="none"/>
                <w:lang w:val="en-US" w:eastAsia="zh-CN" w:bidi="ar-SA"/>
              </w:rPr>
              <w:t>428</w:t>
            </w:r>
          </w:p>
        </w:tc>
      </w:tr>
      <w:tr w14:paraId="75B8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1F582A77">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noWrap/>
            <w:vAlign w:val="center"/>
          </w:tcPr>
          <w:p w14:paraId="77075295">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722" w:type="dxa"/>
            <w:gridSpan w:val="2"/>
            <w:noWrap/>
            <w:vAlign w:val="center"/>
          </w:tcPr>
          <w:p w14:paraId="1171FDC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w:t>
            </w:r>
          </w:p>
        </w:tc>
        <w:tc>
          <w:tcPr>
            <w:tcW w:w="1534" w:type="dxa"/>
            <w:gridSpan w:val="3"/>
            <w:noWrap/>
            <w:vAlign w:val="center"/>
          </w:tcPr>
          <w:p w14:paraId="11EAAA6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22494</w:t>
            </w:r>
          </w:p>
        </w:tc>
      </w:tr>
      <w:tr w14:paraId="217E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6BF18C5">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noWrap/>
            <w:vAlign w:val="center"/>
          </w:tcPr>
          <w:p w14:paraId="6381B3E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722" w:type="dxa"/>
            <w:gridSpan w:val="2"/>
            <w:noWrap/>
            <w:vAlign w:val="center"/>
          </w:tcPr>
          <w:p w14:paraId="3729F8D5">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c>
          <w:tcPr>
            <w:tcW w:w="1534" w:type="dxa"/>
            <w:gridSpan w:val="3"/>
            <w:noWrap/>
            <w:vAlign w:val="center"/>
          </w:tcPr>
          <w:p w14:paraId="74DF654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99.7</w:t>
            </w:r>
          </w:p>
        </w:tc>
      </w:tr>
      <w:tr w14:paraId="6348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49992F3D">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noWrap/>
            <w:vAlign w:val="center"/>
          </w:tcPr>
          <w:p w14:paraId="457DA84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722" w:type="dxa"/>
            <w:gridSpan w:val="2"/>
            <w:noWrap/>
            <w:vAlign w:val="center"/>
          </w:tcPr>
          <w:p w14:paraId="1D0A7FE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97.9</w:t>
            </w:r>
          </w:p>
        </w:tc>
        <w:tc>
          <w:tcPr>
            <w:tcW w:w="1534" w:type="dxa"/>
            <w:gridSpan w:val="3"/>
            <w:noWrap/>
            <w:vAlign w:val="center"/>
          </w:tcPr>
          <w:p w14:paraId="2A9AB58D">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97.2</w:t>
            </w:r>
          </w:p>
        </w:tc>
      </w:tr>
      <w:tr w14:paraId="4A07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642F467D">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noWrap/>
            <w:vAlign w:val="center"/>
          </w:tcPr>
          <w:p w14:paraId="07A69D9A">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722" w:type="dxa"/>
            <w:gridSpan w:val="2"/>
            <w:noWrap/>
            <w:vAlign w:val="center"/>
          </w:tcPr>
          <w:p w14:paraId="5EC0C5D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97.3</w:t>
            </w:r>
          </w:p>
        </w:tc>
        <w:tc>
          <w:tcPr>
            <w:tcW w:w="1534" w:type="dxa"/>
            <w:gridSpan w:val="3"/>
            <w:noWrap/>
            <w:vAlign w:val="center"/>
          </w:tcPr>
          <w:p w14:paraId="34D98145">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96.4</w:t>
            </w:r>
          </w:p>
        </w:tc>
      </w:tr>
      <w:tr w14:paraId="7978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8A4E04A">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14:paraId="6E2657E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722" w:type="dxa"/>
            <w:gridSpan w:val="2"/>
            <w:noWrap/>
            <w:vAlign w:val="center"/>
          </w:tcPr>
          <w:p w14:paraId="62CA9319">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13.3</w:t>
            </w:r>
          </w:p>
        </w:tc>
        <w:tc>
          <w:tcPr>
            <w:tcW w:w="1534" w:type="dxa"/>
            <w:gridSpan w:val="3"/>
            <w:noWrap/>
            <w:vAlign w:val="center"/>
          </w:tcPr>
          <w:p w14:paraId="793EDDF8">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14.6</w:t>
            </w:r>
          </w:p>
        </w:tc>
      </w:tr>
      <w:tr w14:paraId="54E1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D1EC458">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14:paraId="04B890C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722" w:type="dxa"/>
            <w:gridSpan w:val="2"/>
            <w:noWrap/>
            <w:vAlign w:val="center"/>
          </w:tcPr>
          <w:p w14:paraId="61114D2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11.7</w:t>
            </w:r>
          </w:p>
        </w:tc>
        <w:tc>
          <w:tcPr>
            <w:tcW w:w="1534" w:type="dxa"/>
            <w:gridSpan w:val="3"/>
            <w:noWrap/>
            <w:vAlign w:val="center"/>
          </w:tcPr>
          <w:p w14:paraId="789E5DF5">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13.0</w:t>
            </w:r>
          </w:p>
        </w:tc>
      </w:tr>
      <w:tr w14:paraId="31E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noWrap w:val="0"/>
            <w:vAlign w:val="center"/>
          </w:tcPr>
          <w:p w14:paraId="70239B09">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14:paraId="6724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noWrap w:val="0"/>
            <w:vAlign w:val="center"/>
          </w:tcPr>
          <w:p w14:paraId="1394F22B">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14:paraId="1F11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noWrap w:val="0"/>
            <w:vAlign w:val="center"/>
          </w:tcPr>
          <w:p w14:paraId="452ECB7E">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4" name="直接箭头连接符 4"/>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VycJdcAAAAIAQAADwAAAAAAAAABACAAAAAiAAAA&#10;ZHJzL2Rvd25yZXYueG1sUEsBAhQAFAAAAAgAh07iQLvavbUIAgAA/wMAAA4AAAAAAAAAAQAgAAAA&#10;JgEAAGRycy9lMm9Eb2MueG1sUEsFBgAAAAAGAAYAWQEAAKA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14:paraId="28C701C8">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noWrap/>
            <w:vAlign w:val="center"/>
          </w:tcPr>
          <w:p w14:paraId="144016F3">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w:t>
            </w:r>
          </w:p>
        </w:tc>
        <w:tc>
          <w:tcPr>
            <w:tcW w:w="2213" w:type="dxa"/>
            <w:gridSpan w:val="3"/>
            <w:noWrap/>
            <w:vAlign w:val="center"/>
          </w:tcPr>
          <w:p w14:paraId="789E1A23">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c>
          <w:tcPr>
            <w:tcW w:w="2130" w:type="dxa"/>
            <w:gridSpan w:val="4"/>
            <w:noWrap/>
            <w:vAlign w:val="center"/>
          </w:tcPr>
          <w:p w14:paraId="3852F0F1">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6</w:t>
            </w:r>
            <w:r>
              <w:rPr>
                <w:rFonts w:hint="eastAsia" w:cs="Times New Roman"/>
                <w:kern w:val="0"/>
                <w:sz w:val="24"/>
                <w:highlight w:val="none"/>
                <w:lang w:val="en" w:eastAsia="zh-CN"/>
              </w:rPr>
              <w:t>年</w:t>
            </w:r>
          </w:p>
        </w:tc>
      </w:tr>
      <w:tr w14:paraId="7B4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noWrap w:val="0"/>
            <w:vAlign w:val="center"/>
          </w:tcPr>
          <w:p w14:paraId="395E803C">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noWrap/>
            <w:vAlign w:val="center"/>
          </w:tcPr>
          <w:p w14:paraId="2B0C92D0">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noWrap w:val="0"/>
            <w:vAlign w:val="center"/>
          </w:tcPr>
          <w:p w14:paraId="5D415FE6">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noWrap/>
            <w:vAlign w:val="center"/>
          </w:tcPr>
          <w:p w14:paraId="1CBE9240">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noWrap w:val="0"/>
            <w:vAlign w:val="center"/>
          </w:tcPr>
          <w:p w14:paraId="4BDC42C0">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noWrap/>
            <w:vAlign w:val="center"/>
          </w:tcPr>
          <w:p w14:paraId="1AA811B4">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noWrap w:val="0"/>
            <w:vAlign w:val="center"/>
          </w:tcPr>
          <w:p w14:paraId="3A61E2AD">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14:paraId="50EA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3079873A">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noWrap/>
            <w:vAlign w:val="center"/>
          </w:tcPr>
          <w:p w14:paraId="61906BB3">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975.7 </w:t>
            </w:r>
          </w:p>
        </w:tc>
        <w:tc>
          <w:tcPr>
            <w:tcW w:w="1162" w:type="dxa"/>
            <w:gridSpan w:val="4"/>
            <w:noWrap w:val="0"/>
            <w:vAlign w:val="center"/>
          </w:tcPr>
          <w:p w14:paraId="50431E2E">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5635.6 </w:t>
            </w:r>
          </w:p>
        </w:tc>
        <w:tc>
          <w:tcPr>
            <w:tcW w:w="1031" w:type="dxa"/>
            <w:noWrap/>
            <w:vAlign w:val="center"/>
          </w:tcPr>
          <w:p w14:paraId="18ED46AC">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1018.0 </w:t>
            </w:r>
          </w:p>
        </w:tc>
        <w:tc>
          <w:tcPr>
            <w:tcW w:w="1182" w:type="dxa"/>
            <w:gridSpan w:val="2"/>
            <w:noWrap w:val="0"/>
            <w:vAlign w:val="center"/>
          </w:tcPr>
          <w:p w14:paraId="0ADE6248">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5853.9 </w:t>
            </w:r>
          </w:p>
        </w:tc>
        <w:tc>
          <w:tcPr>
            <w:tcW w:w="993" w:type="dxa"/>
            <w:gridSpan w:val="2"/>
            <w:noWrap/>
            <w:vAlign w:val="center"/>
          </w:tcPr>
          <w:p w14:paraId="672E450E">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1030.0 </w:t>
            </w:r>
          </w:p>
        </w:tc>
        <w:tc>
          <w:tcPr>
            <w:tcW w:w="1137" w:type="dxa"/>
            <w:gridSpan w:val="2"/>
            <w:noWrap w:val="0"/>
            <w:vAlign w:val="center"/>
          </w:tcPr>
          <w:p w14:paraId="380ED71E">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5971.0 </w:t>
            </w:r>
          </w:p>
        </w:tc>
      </w:tr>
      <w:tr w14:paraId="748D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42FBC0AC">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noWrap/>
            <w:vAlign w:val="center"/>
          </w:tcPr>
          <w:p w14:paraId="4C9C3EE2">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2241.9 </w:t>
            </w:r>
          </w:p>
        </w:tc>
        <w:tc>
          <w:tcPr>
            <w:tcW w:w="1162" w:type="dxa"/>
            <w:gridSpan w:val="4"/>
            <w:noWrap w:val="0"/>
            <w:vAlign w:val="center"/>
          </w:tcPr>
          <w:p w14:paraId="5E60EF3E">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13447.2 </w:t>
            </w:r>
          </w:p>
        </w:tc>
        <w:tc>
          <w:tcPr>
            <w:tcW w:w="1031" w:type="dxa"/>
            <w:noWrap/>
            <w:vAlign w:val="center"/>
          </w:tcPr>
          <w:p w14:paraId="46CFAD8A">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2281.6 </w:t>
            </w:r>
          </w:p>
        </w:tc>
        <w:tc>
          <w:tcPr>
            <w:tcW w:w="1182" w:type="dxa"/>
            <w:gridSpan w:val="2"/>
            <w:noWrap w:val="0"/>
            <w:vAlign w:val="center"/>
          </w:tcPr>
          <w:p w14:paraId="1715C3D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13697.6 </w:t>
            </w:r>
          </w:p>
        </w:tc>
        <w:tc>
          <w:tcPr>
            <w:tcW w:w="993" w:type="dxa"/>
            <w:gridSpan w:val="2"/>
            <w:noWrap/>
            <w:vAlign w:val="center"/>
          </w:tcPr>
          <w:p w14:paraId="5BFA400A">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2425.7 </w:t>
            </w:r>
          </w:p>
        </w:tc>
        <w:tc>
          <w:tcPr>
            <w:tcW w:w="1137" w:type="dxa"/>
            <w:gridSpan w:val="2"/>
            <w:noWrap w:val="0"/>
            <w:vAlign w:val="center"/>
          </w:tcPr>
          <w:p w14:paraId="6CF9B757">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14136.9 </w:t>
            </w:r>
          </w:p>
        </w:tc>
      </w:tr>
      <w:tr w14:paraId="18F1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noWrap w:val="0"/>
            <w:vAlign w:val="center"/>
          </w:tcPr>
          <w:p w14:paraId="0D0E0923">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noWrap/>
            <w:vAlign w:val="center"/>
          </w:tcPr>
          <w:p w14:paraId="16C2550C">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7863.7 </w:t>
            </w:r>
          </w:p>
        </w:tc>
        <w:tc>
          <w:tcPr>
            <w:tcW w:w="1162" w:type="dxa"/>
            <w:gridSpan w:val="4"/>
            <w:noWrap w:val="0"/>
            <w:vAlign w:val="center"/>
          </w:tcPr>
          <w:p w14:paraId="1D1951F5">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9803.1 </w:t>
            </w:r>
          </w:p>
        </w:tc>
        <w:tc>
          <w:tcPr>
            <w:tcW w:w="1031" w:type="dxa"/>
            <w:noWrap/>
            <w:vAlign w:val="center"/>
          </w:tcPr>
          <w:p w14:paraId="4F8F1C4B">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7792.8 </w:t>
            </w:r>
          </w:p>
        </w:tc>
        <w:tc>
          <w:tcPr>
            <w:tcW w:w="1182" w:type="dxa"/>
            <w:gridSpan w:val="2"/>
            <w:noWrap w:val="0"/>
            <w:vAlign w:val="center"/>
          </w:tcPr>
          <w:p w14:paraId="507785D8">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9764.1 </w:t>
            </w:r>
          </w:p>
        </w:tc>
        <w:tc>
          <w:tcPr>
            <w:tcW w:w="993" w:type="dxa"/>
            <w:gridSpan w:val="2"/>
            <w:noWrap/>
            <w:vAlign w:val="center"/>
          </w:tcPr>
          <w:p w14:paraId="537D26D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7201.8 </w:t>
            </w:r>
          </w:p>
        </w:tc>
        <w:tc>
          <w:tcPr>
            <w:tcW w:w="1137" w:type="dxa"/>
            <w:gridSpan w:val="2"/>
            <w:noWrap w:val="0"/>
            <w:vAlign w:val="center"/>
          </w:tcPr>
          <w:p w14:paraId="3379C167">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8060.4 </w:t>
            </w:r>
          </w:p>
        </w:tc>
      </w:tr>
      <w:tr w14:paraId="6DA0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noWrap w:val="0"/>
            <w:vAlign w:val="center"/>
          </w:tcPr>
          <w:p w14:paraId="783FF876">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noWrap/>
            <w:vAlign w:val="center"/>
          </w:tcPr>
          <w:p w14:paraId="73AC4203">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7197.8 </w:t>
            </w:r>
          </w:p>
        </w:tc>
        <w:tc>
          <w:tcPr>
            <w:tcW w:w="1162" w:type="dxa"/>
            <w:gridSpan w:val="4"/>
            <w:noWrap w:val="0"/>
            <w:vAlign w:val="center"/>
          </w:tcPr>
          <w:p w14:paraId="74D06AF0">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929.7 </w:t>
            </w:r>
          </w:p>
        </w:tc>
        <w:tc>
          <w:tcPr>
            <w:tcW w:w="1031" w:type="dxa"/>
            <w:noWrap/>
            <w:vAlign w:val="center"/>
          </w:tcPr>
          <w:p w14:paraId="6C4C2BD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7330.9 </w:t>
            </w:r>
          </w:p>
        </w:tc>
        <w:tc>
          <w:tcPr>
            <w:tcW w:w="1182" w:type="dxa"/>
            <w:gridSpan w:val="2"/>
            <w:noWrap w:val="0"/>
            <w:vAlign w:val="center"/>
          </w:tcPr>
          <w:p w14:paraId="0A3F4612">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844.8 </w:t>
            </w:r>
          </w:p>
        </w:tc>
        <w:tc>
          <w:tcPr>
            <w:tcW w:w="993" w:type="dxa"/>
            <w:gridSpan w:val="2"/>
            <w:noWrap/>
            <w:vAlign w:val="center"/>
          </w:tcPr>
          <w:p w14:paraId="41F0E6FE">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6577.7 </w:t>
            </w:r>
          </w:p>
        </w:tc>
        <w:tc>
          <w:tcPr>
            <w:tcW w:w="1137" w:type="dxa"/>
            <w:gridSpan w:val="2"/>
            <w:noWrap w:val="0"/>
            <w:vAlign w:val="center"/>
          </w:tcPr>
          <w:p w14:paraId="3165DE38">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83.0 </w:t>
            </w:r>
          </w:p>
        </w:tc>
      </w:tr>
      <w:tr w14:paraId="175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noWrap w:val="0"/>
            <w:vAlign w:val="center"/>
          </w:tcPr>
          <w:p w14:paraId="6CDC97FC">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noWrap/>
            <w:vAlign w:val="center"/>
          </w:tcPr>
          <w:p w14:paraId="66D9CF3F">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162" w:type="dxa"/>
            <w:gridSpan w:val="4"/>
            <w:noWrap w:val="0"/>
            <w:vAlign w:val="center"/>
          </w:tcPr>
          <w:p w14:paraId="49509B0A">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031" w:type="dxa"/>
            <w:noWrap/>
            <w:vAlign w:val="center"/>
          </w:tcPr>
          <w:p w14:paraId="16A309FD">
            <w:pPr>
              <w:keepNext w:val="0"/>
              <w:keepLines w:val="0"/>
              <w:widowControl/>
              <w:suppressLineNumbers w:val="0"/>
              <w:jc w:val="right"/>
              <w:textAlignment w:val="center"/>
              <w:rPr>
                <w:rFonts w:hint="default" w:ascii="Times New Roman" w:hAnsi="Times New Roman" w:eastAsia="仿宋_GB2312" w:cs="Times New Roman"/>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1182" w:type="dxa"/>
            <w:gridSpan w:val="2"/>
            <w:noWrap w:val="0"/>
            <w:vAlign w:val="center"/>
          </w:tcPr>
          <w:p w14:paraId="527A1842">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993" w:type="dxa"/>
            <w:gridSpan w:val="2"/>
            <w:noWrap/>
            <w:vAlign w:val="center"/>
          </w:tcPr>
          <w:p w14:paraId="2644D1BB">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c>
          <w:tcPr>
            <w:tcW w:w="1137" w:type="dxa"/>
            <w:gridSpan w:val="2"/>
            <w:noWrap w:val="0"/>
            <w:vAlign w:val="center"/>
          </w:tcPr>
          <w:p w14:paraId="76D88863">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r>
      <w:tr w14:paraId="10E3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noWrap w:val="0"/>
            <w:vAlign w:val="center"/>
          </w:tcPr>
          <w:p w14:paraId="05E3C80B">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14:paraId="6842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3EBB5E61">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noWrap/>
            <w:vAlign w:val="center"/>
          </w:tcPr>
          <w:p w14:paraId="0E4A9368">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131.9 </w:t>
            </w:r>
          </w:p>
        </w:tc>
        <w:tc>
          <w:tcPr>
            <w:tcW w:w="1113" w:type="dxa"/>
            <w:gridSpan w:val="3"/>
            <w:noWrap w:val="0"/>
            <w:vAlign w:val="center"/>
          </w:tcPr>
          <w:p w14:paraId="54DEDBC5">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3761.2 </w:t>
            </w:r>
          </w:p>
        </w:tc>
        <w:tc>
          <w:tcPr>
            <w:tcW w:w="1087" w:type="dxa"/>
            <w:gridSpan w:val="2"/>
            <w:noWrap/>
            <w:vAlign w:val="center"/>
          </w:tcPr>
          <w:p w14:paraId="4E76E6F2">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139.0 </w:t>
            </w:r>
          </w:p>
        </w:tc>
        <w:tc>
          <w:tcPr>
            <w:tcW w:w="1126" w:type="dxa"/>
            <w:noWrap w:val="0"/>
            <w:vAlign w:val="center"/>
          </w:tcPr>
          <w:p w14:paraId="1AEFD59F">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3789.3 </w:t>
            </w:r>
          </w:p>
        </w:tc>
        <w:tc>
          <w:tcPr>
            <w:tcW w:w="993" w:type="dxa"/>
            <w:gridSpan w:val="2"/>
            <w:noWrap/>
            <w:vAlign w:val="center"/>
          </w:tcPr>
          <w:p w14:paraId="7176B383">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128.0 </w:t>
            </w:r>
          </w:p>
        </w:tc>
        <w:tc>
          <w:tcPr>
            <w:tcW w:w="1137" w:type="dxa"/>
            <w:gridSpan w:val="2"/>
            <w:noWrap w:val="0"/>
            <w:vAlign w:val="center"/>
          </w:tcPr>
          <w:p w14:paraId="55483C4B">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3190.0 </w:t>
            </w:r>
          </w:p>
        </w:tc>
      </w:tr>
      <w:tr w14:paraId="6456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4D7D9B13">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noWrap/>
            <w:vAlign w:val="center"/>
          </w:tcPr>
          <w:p w14:paraId="2A4E4A01">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160.8 </w:t>
            </w:r>
          </w:p>
        </w:tc>
        <w:tc>
          <w:tcPr>
            <w:tcW w:w="1113" w:type="dxa"/>
            <w:gridSpan w:val="3"/>
            <w:noWrap w:val="0"/>
            <w:vAlign w:val="center"/>
          </w:tcPr>
          <w:p w14:paraId="00363F2A">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6025.5 </w:t>
            </w:r>
          </w:p>
        </w:tc>
        <w:tc>
          <w:tcPr>
            <w:tcW w:w="1087" w:type="dxa"/>
            <w:gridSpan w:val="2"/>
            <w:noWrap/>
            <w:vAlign w:val="center"/>
          </w:tcPr>
          <w:p w14:paraId="31DA7004">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112.7 </w:t>
            </w:r>
          </w:p>
        </w:tc>
        <w:tc>
          <w:tcPr>
            <w:tcW w:w="1126" w:type="dxa"/>
            <w:noWrap w:val="0"/>
            <w:vAlign w:val="center"/>
          </w:tcPr>
          <w:p w14:paraId="00F35D1C">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5918.6 </w:t>
            </w:r>
          </w:p>
        </w:tc>
        <w:tc>
          <w:tcPr>
            <w:tcW w:w="993" w:type="dxa"/>
            <w:gridSpan w:val="2"/>
            <w:noWrap/>
            <w:vAlign w:val="center"/>
          </w:tcPr>
          <w:p w14:paraId="3D51D89E">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112.6 </w:t>
            </w:r>
          </w:p>
        </w:tc>
        <w:tc>
          <w:tcPr>
            <w:tcW w:w="1137" w:type="dxa"/>
            <w:gridSpan w:val="2"/>
            <w:noWrap w:val="0"/>
            <w:vAlign w:val="center"/>
          </w:tcPr>
          <w:p w14:paraId="28A9D8A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5700.8 </w:t>
            </w:r>
          </w:p>
        </w:tc>
      </w:tr>
      <w:tr w14:paraId="4939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noWrap w:val="0"/>
            <w:vAlign w:val="center"/>
          </w:tcPr>
          <w:p w14:paraId="0144849F">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noWrap/>
            <w:vAlign w:val="center"/>
          </w:tcPr>
          <w:p w14:paraId="3D4C1733">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113" w:type="dxa"/>
            <w:gridSpan w:val="3"/>
            <w:noWrap w:val="0"/>
            <w:vAlign w:val="center"/>
          </w:tcPr>
          <w:p w14:paraId="32848736">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087" w:type="dxa"/>
            <w:gridSpan w:val="2"/>
            <w:noWrap/>
            <w:vAlign w:val="center"/>
          </w:tcPr>
          <w:p w14:paraId="3948E516">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1126" w:type="dxa"/>
            <w:noWrap w:val="0"/>
            <w:vAlign w:val="center"/>
          </w:tcPr>
          <w:p w14:paraId="1AAD1499">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993" w:type="dxa"/>
            <w:gridSpan w:val="2"/>
            <w:noWrap/>
            <w:vAlign w:val="center"/>
          </w:tcPr>
          <w:p w14:paraId="75AF9209">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c>
          <w:tcPr>
            <w:tcW w:w="1137" w:type="dxa"/>
            <w:gridSpan w:val="2"/>
            <w:noWrap w:val="0"/>
            <w:vAlign w:val="center"/>
          </w:tcPr>
          <w:p w14:paraId="70ADC712">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r>
      <w:tr w14:paraId="249D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noWrap w:val="0"/>
            <w:vAlign w:val="center"/>
          </w:tcPr>
          <w:p w14:paraId="423274DA">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14:paraId="5BD3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16FE0788">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noWrap/>
            <w:vAlign w:val="center"/>
          </w:tcPr>
          <w:p w14:paraId="2A8E75CB">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31.3</w:t>
            </w:r>
          </w:p>
        </w:tc>
        <w:tc>
          <w:tcPr>
            <w:tcW w:w="1113" w:type="dxa"/>
            <w:gridSpan w:val="3"/>
            <w:noWrap w:val="0"/>
            <w:vAlign w:val="center"/>
          </w:tcPr>
          <w:p w14:paraId="03366B1C">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201.8</w:t>
            </w:r>
          </w:p>
        </w:tc>
        <w:tc>
          <w:tcPr>
            <w:tcW w:w="1087" w:type="dxa"/>
            <w:gridSpan w:val="2"/>
            <w:noWrap/>
            <w:vAlign w:val="center"/>
          </w:tcPr>
          <w:p w14:paraId="04703557">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33.7</w:t>
            </w:r>
          </w:p>
        </w:tc>
        <w:tc>
          <w:tcPr>
            <w:tcW w:w="1126" w:type="dxa"/>
            <w:noWrap w:val="0"/>
            <w:vAlign w:val="center"/>
          </w:tcPr>
          <w:p w14:paraId="278668D5">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227</w:t>
            </w:r>
          </w:p>
        </w:tc>
        <w:tc>
          <w:tcPr>
            <w:tcW w:w="1020" w:type="dxa"/>
            <w:gridSpan w:val="3"/>
            <w:noWrap/>
            <w:vAlign w:val="center"/>
          </w:tcPr>
          <w:p w14:paraId="07405D83">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28</w:t>
            </w:r>
          </w:p>
        </w:tc>
        <w:tc>
          <w:tcPr>
            <w:tcW w:w="1110" w:type="dxa"/>
            <w:noWrap w:val="0"/>
            <w:vAlign w:val="center"/>
          </w:tcPr>
          <w:p w14:paraId="55F56BA8">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177.5</w:t>
            </w:r>
          </w:p>
        </w:tc>
      </w:tr>
      <w:tr w14:paraId="101F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4D25BA66">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noWrap/>
            <w:vAlign w:val="center"/>
          </w:tcPr>
          <w:p w14:paraId="1E74A0B9">
            <w:pPr>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16.4</w:t>
            </w:r>
          </w:p>
        </w:tc>
        <w:tc>
          <w:tcPr>
            <w:tcW w:w="1113" w:type="dxa"/>
            <w:gridSpan w:val="3"/>
            <w:noWrap w:val="0"/>
            <w:vAlign w:val="center"/>
          </w:tcPr>
          <w:p w14:paraId="768F7F87">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90.8</w:t>
            </w:r>
          </w:p>
        </w:tc>
        <w:tc>
          <w:tcPr>
            <w:tcW w:w="1087" w:type="dxa"/>
            <w:gridSpan w:val="2"/>
            <w:noWrap/>
            <w:vAlign w:val="center"/>
          </w:tcPr>
          <w:p w14:paraId="38A3A1E9">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20.0</w:t>
            </w:r>
          </w:p>
        </w:tc>
        <w:tc>
          <w:tcPr>
            <w:tcW w:w="1126" w:type="dxa"/>
            <w:noWrap w:val="0"/>
            <w:vAlign w:val="center"/>
          </w:tcPr>
          <w:p w14:paraId="24C21E47">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92.6</w:t>
            </w:r>
          </w:p>
        </w:tc>
        <w:tc>
          <w:tcPr>
            <w:tcW w:w="1020" w:type="dxa"/>
            <w:gridSpan w:val="3"/>
            <w:noWrap/>
            <w:vAlign w:val="center"/>
          </w:tcPr>
          <w:p w14:paraId="3E01627A">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19.7</w:t>
            </w:r>
          </w:p>
        </w:tc>
        <w:tc>
          <w:tcPr>
            <w:tcW w:w="1110" w:type="dxa"/>
            <w:noWrap w:val="0"/>
            <w:vAlign w:val="center"/>
          </w:tcPr>
          <w:p w14:paraId="3D6F3565">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106.4</w:t>
            </w:r>
          </w:p>
        </w:tc>
      </w:tr>
      <w:tr w14:paraId="5B4E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noWrap w:val="0"/>
            <w:vAlign w:val="center"/>
          </w:tcPr>
          <w:p w14:paraId="76D80DA0">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ascii="Times New Roman" w:hAnsi="Times New Roman" w:eastAsia="仿宋_GB2312"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14:paraId="4FF7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7896D478">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14:paraId="1F1E3EF6">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82.8</w:t>
            </w:r>
          </w:p>
        </w:tc>
        <w:tc>
          <w:tcPr>
            <w:tcW w:w="1113" w:type="dxa"/>
            <w:gridSpan w:val="3"/>
            <w:noWrap w:val="0"/>
            <w:vAlign w:val="center"/>
          </w:tcPr>
          <w:p w14:paraId="42736E08">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731.7</w:t>
            </w:r>
          </w:p>
        </w:tc>
        <w:tc>
          <w:tcPr>
            <w:tcW w:w="1087" w:type="dxa"/>
            <w:gridSpan w:val="2"/>
            <w:noWrap/>
            <w:vAlign w:val="center"/>
          </w:tcPr>
          <w:p w14:paraId="606B1773">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109.4</w:t>
            </w:r>
          </w:p>
        </w:tc>
        <w:tc>
          <w:tcPr>
            <w:tcW w:w="1126" w:type="dxa"/>
            <w:noWrap w:val="0"/>
            <w:vAlign w:val="center"/>
          </w:tcPr>
          <w:p w14:paraId="2C374611">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1009.8</w:t>
            </w:r>
          </w:p>
        </w:tc>
        <w:tc>
          <w:tcPr>
            <w:tcW w:w="1020" w:type="dxa"/>
            <w:gridSpan w:val="3"/>
            <w:noWrap/>
            <w:vAlign w:val="center"/>
          </w:tcPr>
          <w:p w14:paraId="27FE674C">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103.5</w:t>
            </w:r>
          </w:p>
        </w:tc>
        <w:tc>
          <w:tcPr>
            <w:tcW w:w="1110" w:type="dxa"/>
            <w:noWrap w:val="0"/>
            <w:vAlign w:val="center"/>
          </w:tcPr>
          <w:p w14:paraId="48B1B47B">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720.6</w:t>
            </w:r>
          </w:p>
        </w:tc>
      </w:tr>
      <w:tr w14:paraId="0DF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56389EF8">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14:paraId="5495C6A6">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13" w:type="dxa"/>
            <w:gridSpan w:val="3"/>
            <w:noWrap w:val="0"/>
            <w:vAlign w:val="center"/>
          </w:tcPr>
          <w:p w14:paraId="652A3555">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1977.4</w:t>
            </w:r>
          </w:p>
        </w:tc>
        <w:tc>
          <w:tcPr>
            <w:tcW w:w="1087" w:type="dxa"/>
            <w:gridSpan w:val="2"/>
            <w:noWrap/>
            <w:vAlign w:val="center"/>
          </w:tcPr>
          <w:p w14:paraId="709A1F1D">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26" w:type="dxa"/>
            <w:noWrap w:val="0"/>
            <w:vAlign w:val="center"/>
          </w:tcPr>
          <w:p w14:paraId="2082817D">
            <w:pPr>
              <w:widowControl/>
              <w:spacing w:line="240" w:lineRule="exact"/>
              <w:jc w:val="right"/>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1570.6</w:t>
            </w:r>
          </w:p>
        </w:tc>
        <w:tc>
          <w:tcPr>
            <w:tcW w:w="1020" w:type="dxa"/>
            <w:gridSpan w:val="3"/>
            <w:noWrap/>
            <w:vAlign w:val="center"/>
          </w:tcPr>
          <w:p w14:paraId="0FAFD6DF">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0</w:t>
            </w:r>
          </w:p>
        </w:tc>
        <w:tc>
          <w:tcPr>
            <w:tcW w:w="1110" w:type="dxa"/>
            <w:noWrap w:val="0"/>
            <w:vAlign w:val="center"/>
          </w:tcPr>
          <w:p w14:paraId="78DB42FB">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1594.5</w:t>
            </w:r>
          </w:p>
        </w:tc>
      </w:tr>
      <w:tr w14:paraId="077D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noWrap/>
            <w:vAlign w:val="center"/>
          </w:tcPr>
          <w:p w14:paraId="1960801D">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14:paraId="5FF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14:paraId="42E250BF">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年底地方政府债务余额</w:t>
            </w:r>
          </w:p>
        </w:tc>
        <w:tc>
          <w:tcPr>
            <w:tcW w:w="4993" w:type="dxa"/>
            <w:gridSpan w:val="9"/>
            <w:noWrap/>
            <w:vAlign w:val="center"/>
          </w:tcPr>
          <w:p w14:paraId="390E5500">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28015</w:t>
            </w:r>
          </w:p>
        </w:tc>
      </w:tr>
      <w:tr w14:paraId="1AAD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14:paraId="1691473B">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年地方政府债务限额</w:t>
            </w:r>
          </w:p>
        </w:tc>
        <w:tc>
          <w:tcPr>
            <w:tcW w:w="4993" w:type="dxa"/>
            <w:gridSpan w:val="9"/>
            <w:noWrap/>
            <w:vAlign w:val="center"/>
          </w:tcPr>
          <w:p w14:paraId="28CF7B3F">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29635.7</w:t>
            </w:r>
          </w:p>
        </w:tc>
      </w:tr>
    </w:tbl>
    <w:p w14:paraId="444F23B4">
      <w:pPr>
        <w:pStyle w:val="4"/>
        <w:snapToGrid w:val="0"/>
        <w:spacing w:line="300" w:lineRule="exact"/>
        <w:ind w:left="735" w:hanging="735" w:hangingChars="350"/>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rPr>
        <w:t>注：1、经济数据</w:t>
      </w:r>
      <w:r>
        <w:rPr>
          <w:rFonts w:hint="default" w:ascii="Times New Roman" w:hAnsi="Times New Roman" w:eastAsia="仿宋_GB2312" w:cs="Times New Roman"/>
          <w:color w:val="000000"/>
          <w:highlight w:val="none"/>
          <w:lang w:eastAsia="zh-CN"/>
        </w:rPr>
        <w:t>来源于四川省统计局</w:t>
      </w:r>
    </w:p>
    <w:p w14:paraId="75BB2B09">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highlight w:val="none"/>
        </w:rPr>
        <w:t>2、财政数据中202</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rPr>
        <w:t>年</w:t>
      </w:r>
      <w:r>
        <w:rPr>
          <w:rFonts w:hint="default" w:ascii="Times New Roman" w:hAnsi="Times New Roman" w:eastAsia="仿宋_GB2312" w:cs="Times New Roman"/>
          <w:color w:val="000000"/>
          <w:highlight w:val="none"/>
          <w:lang w:eastAsia="zh-CN"/>
        </w:rPr>
        <w:t>为决算数，</w:t>
      </w:r>
      <w:r>
        <w:rPr>
          <w:rFonts w:hint="default" w:ascii="Times New Roman" w:hAnsi="Times New Roman" w:eastAsia="仿宋_GB2312" w:cs="Times New Roman"/>
          <w:color w:val="000000"/>
          <w:highlight w:val="none"/>
          <w:lang w:val="en-US" w:eastAsia="zh-CN"/>
        </w:rPr>
        <w:t>202</w:t>
      </w:r>
      <w:r>
        <w:rPr>
          <w:rFonts w:hint="eastAsia" w:ascii="Times New Roman" w:hAnsi="Times New Roman" w:eastAsia="仿宋_GB2312" w:cs="Times New Roman"/>
          <w:color w:val="000000"/>
          <w:highlight w:val="none"/>
          <w:lang w:val="en-US" w:eastAsia="zh-CN"/>
        </w:rPr>
        <w:t>5</w:t>
      </w:r>
      <w:r>
        <w:rPr>
          <w:rFonts w:hint="default" w:ascii="Times New Roman" w:hAnsi="Times New Roman" w:eastAsia="仿宋_GB2312" w:cs="Times New Roman"/>
          <w:color w:val="000000"/>
          <w:highlight w:val="none"/>
          <w:lang w:val="en-US" w:eastAsia="zh-CN"/>
        </w:rPr>
        <w:t>年</w:t>
      </w:r>
      <w:r>
        <w:rPr>
          <w:rFonts w:hint="default" w:ascii="Times New Roman" w:hAnsi="Times New Roman" w:eastAsia="仿宋_GB2312" w:cs="Times New Roman"/>
          <w:color w:val="000000"/>
          <w:highlight w:val="none"/>
        </w:rPr>
        <w:t>为</w:t>
      </w:r>
      <w:r>
        <w:rPr>
          <w:rFonts w:hint="eastAsia" w:ascii="Times New Roman" w:hAnsi="Times New Roman" w:eastAsia="仿宋_GB2312" w:cs="Times New Roman"/>
          <w:color w:val="000000"/>
          <w:highlight w:val="none"/>
          <w:lang w:eastAsia="zh-CN"/>
        </w:rPr>
        <w:t>快报执行数</w:t>
      </w:r>
      <w:r>
        <w:rPr>
          <w:rFonts w:hint="default" w:ascii="Times New Roman" w:hAnsi="Times New Roman" w:eastAsia="仿宋_GB2312" w:cs="Times New Roman"/>
          <w:color w:val="000000"/>
          <w:highlight w:val="none"/>
          <w:lang w:eastAsia="zh-CN"/>
        </w:rPr>
        <w:t>，</w:t>
      </w:r>
      <w:r>
        <w:rPr>
          <w:rFonts w:hint="eastAsia" w:ascii="Times New Roman" w:hAnsi="Times New Roman" w:eastAsia="仿宋_GB2312" w:cs="Times New Roman"/>
          <w:color w:val="000000"/>
          <w:highlight w:val="none"/>
          <w:lang w:val="en-US" w:eastAsia="zh-CN"/>
        </w:rPr>
        <w:t>2026年</w:t>
      </w:r>
      <w:r>
        <w:rPr>
          <w:rFonts w:hint="default" w:ascii="Times New Roman" w:hAnsi="Times New Roman" w:eastAsia="仿宋_GB2312" w:cs="Times New Roman"/>
          <w:color w:val="000000"/>
          <w:highlight w:val="none"/>
          <w:lang w:val="en-US" w:eastAsia="zh-CN"/>
        </w:rPr>
        <w:t>为预算数</w:t>
      </w:r>
      <w:r>
        <w:rPr>
          <w:rFonts w:hint="default" w:ascii="Times New Roman" w:hAnsi="Times New Roman" w:eastAsia="仿宋_GB2312" w:cs="Times New Roman"/>
          <w:color w:val="000000"/>
          <w:highlight w:val="none"/>
        </w:rPr>
        <w:t>。</w:t>
      </w:r>
    </w:p>
    <w:p w14:paraId="49E158A1">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14:paraId="610A945D">
      <w:pPr>
        <w:pStyle w:val="4"/>
        <w:keepNext w:val="0"/>
        <w:keepLines w:val="0"/>
        <w:pageBreakBefore w:val="0"/>
        <w:widowControl w:val="0"/>
        <w:kinsoku/>
        <w:wordWrap/>
        <w:overflowPunct/>
        <w:topLinePunct w:val="0"/>
        <w:autoSpaceDE/>
        <w:autoSpaceDN/>
        <w:bidi w:val="0"/>
        <w:adjustRightInd/>
        <w:snapToGrid w:val="0"/>
        <w:spacing w:line="56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14:paraId="0997FDA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28015</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29635.7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8739.4</w:t>
      </w:r>
      <w:r>
        <w:rPr>
          <w:rFonts w:hint="default" w:ascii="Times New Roman" w:hAnsi="Times New Roman" w:eastAsia="仿宋_GB2312" w:cs="Times New Roman"/>
          <w:color w:val="auto"/>
          <w:sz w:val="32"/>
          <w:szCs w:val="32"/>
          <w:highlight w:val="none"/>
          <w:lang w:val="en-US" w:eastAsia="zh-CN"/>
        </w:rPr>
        <w:t>亿元，余</w:t>
      </w:r>
      <w:r>
        <w:rPr>
          <w:rFonts w:hint="eastAsia" w:ascii="Times New Roman" w:hAnsi="Times New Roman" w:eastAsia="仿宋_GB2312" w:cs="Times New Roman"/>
          <w:color w:val="auto"/>
          <w:sz w:val="32"/>
          <w:szCs w:val="32"/>
          <w:highlight w:val="none"/>
          <w:lang w:val="en-US" w:eastAsia="zh-CN"/>
        </w:rPr>
        <w:t>额8515.5</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20896.3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19499.5</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1546.1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 w:eastAsia="zh-CN"/>
        </w:rPr>
        <w:t>50.6</w:t>
      </w:r>
      <w:r>
        <w:rPr>
          <w:rFonts w:hint="default" w:ascii="Times New Roman" w:hAnsi="Times New Roman" w:eastAsia="仿宋_GB2312" w:cs="Times New Roman"/>
          <w:color w:val="auto"/>
          <w:sz w:val="32"/>
          <w:szCs w:val="32"/>
          <w:highlight w:val="none"/>
          <w:lang w:val="en-US" w:eastAsia="zh-CN"/>
        </w:rPr>
        <w:t>亿元；市级债务限额</w:t>
      </w:r>
      <w:r>
        <w:rPr>
          <w:rFonts w:hint="default" w:ascii="Times New Roman" w:hAnsi="Times New Roman" w:eastAsia="仿宋_GB2312" w:cs="Times New Roman"/>
          <w:color w:val="auto"/>
          <w:sz w:val="32"/>
          <w:szCs w:val="32"/>
          <w:highlight w:val="none"/>
          <w:lang w:val="en" w:eastAsia="zh-CN"/>
        </w:rPr>
        <w:t>8219.6</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7824</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default" w:ascii="Times New Roman" w:hAnsi="Times New Roman" w:eastAsia="仿宋_GB2312" w:cs="Times New Roman"/>
          <w:color w:val="auto"/>
          <w:sz w:val="32"/>
          <w:szCs w:val="32"/>
          <w:highlight w:val="none"/>
          <w:lang w:val="en" w:eastAsia="zh-CN"/>
        </w:rPr>
        <w:t>19870</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18740.4</w:t>
      </w:r>
      <w:r>
        <w:rPr>
          <w:rFonts w:hint="default" w:ascii="Times New Roman" w:hAnsi="Times New Roman" w:eastAsia="仿宋_GB2312" w:cs="Times New Roman"/>
          <w:color w:val="auto"/>
          <w:sz w:val="32"/>
          <w:szCs w:val="32"/>
          <w:highlight w:val="none"/>
          <w:lang w:val="en-US" w:eastAsia="zh-CN"/>
        </w:rPr>
        <w:t>亿元。</w:t>
      </w:r>
    </w:p>
    <w:p w14:paraId="480670A0">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成达万铁路、向家坝灌区</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14:paraId="5DA4D6D1">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14:paraId="19E74781">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14:paraId="6E3F2986">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14:paraId="16F69AA6">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14:paraId="36CAA7C9">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14:paraId="715730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14:paraId="0FCBD5BF">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14:paraId="07FB4B17">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14:paraId="349CC9EA">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14:paraId="6E8DFD34">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14:paraId="799C6369">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14:paraId="7D701425">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14:paraId="4BA41BF1">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14:paraId="6C82A067">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14:paraId="1806D152">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14:paraId="276BC8E1">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附件：1.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eastAsia" w:cs="Times New Roman"/>
          <w:sz w:val="32"/>
          <w:szCs w:val="24"/>
          <w:lang w:eastAsia="zh-CN"/>
        </w:rPr>
        <w:t>十八</w:t>
      </w:r>
      <w:r>
        <w:rPr>
          <w:rFonts w:hint="default" w:ascii="Times New Roman" w:hAnsi="Times New Roman" w:eastAsia="仿宋_GB2312" w:cs="Times New Roman"/>
          <w:sz w:val="32"/>
          <w:szCs w:val="24"/>
        </w:rPr>
        <w:t>至</w:t>
      </w:r>
      <w:r>
        <w:rPr>
          <w:rFonts w:hint="eastAsia" w:cs="Times New Roman"/>
          <w:sz w:val="32"/>
          <w:szCs w:val="24"/>
          <w:lang w:eastAsia="zh-CN"/>
        </w:rPr>
        <w:t>二十三</w:t>
      </w:r>
      <w:r>
        <w:rPr>
          <w:rFonts w:hint="default" w:ascii="Times New Roman" w:hAnsi="Times New Roman" w:eastAsia="仿宋_GB2312" w:cs="Times New Roman"/>
          <w:sz w:val="32"/>
          <w:szCs w:val="24"/>
        </w:rPr>
        <w:t>期）各期债券项目清单</w:t>
      </w:r>
    </w:p>
    <w:p w14:paraId="2A94C538">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2.</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24"/>
          <w:lang w:eastAsia="zh-CN"/>
        </w:rPr>
        <w:t>十八</w:t>
      </w:r>
      <w:r>
        <w:rPr>
          <w:rFonts w:hint="default" w:ascii="Times New Roman" w:hAnsi="Times New Roman" w:eastAsia="仿宋_GB2312" w:cs="Times New Roman"/>
          <w:sz w:val="32"/>
          <w:szCs w:val="24"/>
        </w:rPr>
        <w:t>至</w:t>
      </w:r>
      <w:r>
        <w:rPr>
          <w:rFonts w:hint="eastAsia" w:cs="Times New Roman"/>
          <w:sz w:val="32"/>
          <w:szCs w:val="24"/>
          <w:lang w:eastAsia="zh-CN"/>
        </w:rPr>
        <w:t>二十三</w:t>
      </w:r>
      <w:r>
        <w:rPr>
          <w:rFonts w:hint="default" w:ascii="Times New Roman" w:hAnsi="Times New Roman" w:eastAsia="仿宋_GB2312" w:cs="Times New Roman"/>
          <w:sz w:val="32"/>
          <w:szCs w:val="24"/>
        </w:rPr>
        <w:t>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各期债券法律意见书</w:t>
      </w:r>
    </w:p>
    <w:p w14:paraId="316B6036">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3.</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24"/>
          <w:lang w:eastAsia="zh-CN"/>
        </w:rPr>
        <w:t>十八</w:t>
      </w:r>
      <w:r>
        <w:rPr>
          <w:rFonts w:hint="default" w:ascii="Times New Roman" w:hAnsi="Times New Roman" w:eastAsia="仿宋_GB2312" w:cs="Times New Roman"/>
          <w:sz w:val="32"/>
          <w:szCs w:val="24"/>
        </w:rPr>
        <w:t>至</w:t>
      </w:r>
      <w:r>
        <w:rPr>
          <w:rFonts w:hint="eastAsia" w:cs="Times New Roman"/>
          <w:sz w:val="32"/>
          <w:szCs w:val="24"/>
          <w:lang w:eastAsia="zh-CN"/>
        </w:rPr>
        <w:t>二十三</w:t>
      </w:r>
      <w:r>
        <w:rPr>
          <w:rFonts w:hint="default" w:ascii="Times New Roman" w:hAnsi="Times New Roman" w:eastAsia="仿宋_GB2312" w:cs="Times New Roman"/>
          <w:sz w:val="32"/>
          <w:szCs w:val="24"/>
        </w:rPr>
        <w:t>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各期债券财务评估报告</w:t>
      </w:r>
    </w:p>
    <w:p w14:paraId="3178FF49">
      <w:pPr>
        <w:keepNext w:val="0"/>
        <w:keepLines w:val="0"/>
        <w:pageBreakBefore w:val="0"/>
        <w:kinsoku/>
        <w:wordWrap/>
        <w:overflowPunct/>
        <w:topLinePunct w:val="0"/>
        <w:autoSpaceDE/>
        <w:autoSpaceDN/>
        <w:bidi w:val="0"/>
        <w:adjustRightInd/>
        <w:snapToGrid/>
        <w:spacing w:line="580" w:lineRule="exact"/>
        <w:ind w:right="770"/>
        <w:jc w:val="both"/>
        <w:textAlignment w:val="auto"/>
        <w:rPr>
          <w:rFonts w:hint="default" w:ascii="Times New Roman" w:hAnsi="Times New Roman" w:cs="Times New Roman"/>
          <w:color w:val="auto"/>
          <w:sz w:val="32"/>
          <w:szCs w:val="32"/>
          <w:highlight w:val="none"/>
        </w:rPr>
      </w:pPr>
    </w:p>
    <w:p w14:paraId="7435688A">
      <w:pPr>
        <w:keepNext w:val="0"/>
        <w:keepLines w:val="0"/>
        <w:pageBreakBefore w:val="0"/>
        <w:kinsoku/>
        <w:wordWrap/>
        <w:overflowPunct/>
        <w:topLinePunct w:val="0"/>
        <w:autoSpaceDE/>
        <w:autoSpaceDN/>
        <w:bidi w:val="0"/>
        <w:adjustRightInd/>
        <w:snapToGrid/>
        <w:spacing w:line="580" w:lineRule="exact"/>
        <w:ind w:right="1551" w:rightChars="517"/>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14:paraId="6B444367">
      <w:pPr>
        <w:keepNext w:val="0"/>
        <w:keepLines w:val="0"/>
        <w:pageBreakBefore w:val="0"/>
        <w:kinsoku/>
        <w:wordWrap/>
        <w:overflowPunct/>
        <w:topLinePunct w:val="0"/>
        <w:autoSpaceDE/>
        <w:autoSpaceDN/>
        <w:bidi w:val="0"/>
        <w:adjustRightInd/>
        <w:snapToGrid/>
        <w:spacing w:line="580" w:lineRule="exact"/>
        <w:ind w:right="1245" w:rightChars="415"/>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default" w:cs="Times New Roman"/>
          <w:color w:val="auto"/>
          <w:sz w:val="32"/>
          <w:szCs w:val="32"/>
          <w:highlight w:val="none"/>
          <w:lang w:val="en" w:eastAsia="zh-CN"/>
        </w:rPr>
        <w:t>6</w:t>
      </w:r>
      <w:r>
        <w:rPr>
          <w:rFonts w:hint="eastAsia" w:cs="Times New Roman"/>
          <w:color w:val="auto"/>
          <w:sz w:val="32"/>
          <w:szCs w:val="32"/>
          <w:highlight w:val="none"/>
          <w:lang w:eastAsia="zh-CN"/>
        </w:rPr>
        <w:t>年</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19</w:t>
      </w:r>
      <w:bookmarkStart w:id="0" w:name="_GoBack"/>
      <w:bookmarkEnd w:id="0"/>
      <w:r>
        <w:rPr>
          <w:rFonts w:hint="default" w:ascii="Times New Roman" w:hAnsi="Times New Roman" w:cs="Times New Roman"/>
          <w:color w:val="auto"/>
          <w:sz w:val="32"/>
          <w:szCs w:val="32"/>
          <w:highlight w:val="none"/>
        </w:rPr>
        <w:t>日</w:t>
      </w:r>
    </w:p>
    <w:p w14:paraId="6F6773BA">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14:paraId="548EDEDD">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14:paraId="46DAC5B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14:paraId="02B94E3A">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14:paraId="35E9B17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7F37F3"/>
    <w:rsid w:val="1FB95731"/>
    <w:rsid w:val="1FEF0EED"/>
    <w:rsid w:val="1FF86D77"/>
    <w:rsid w:val="273A1534"/>
    <w:rsid w:val="27EF5ADE"/>
    <w:rsid w:val="27FB4DFE"/>
    <w:rsid w:val="292BBD26"/>
    <w:rsid w:val="29447E57"/>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9DD624"/>
    <w:rsid w:val="3DAB5EBA"/>
    <w:rsid w:val="3DEFA9F2"/>
    <w:rsid w:val="3DF3C86E"/>
    <w:rsid w:val="3E7B43AC"/>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AE02C"/>
    <w:rsid w:val="4FFF460D"/>
    <w:rsid w:val="507F6372"/>
    <w:rsid w:val="536F073F"/>
    <w:rsid w:val="53731939"/>
    <w:rsid w:val="53E90DC1"/>
    <w:rsid w:val="54680721"/>
    <w:rsid w:val="54F3BD53"/>
    <w:rsid w:val="54FF9442"/>
    <w:rsid w:val="554D5EAC"/>
    <w:rsid w:val="57BAD169"/>
    <w:rsid w:val="57DF3D15"/>
    <w:rsid w:val="57DFDC94"/>
    <w:rsid w:val="57EB7B42"/>
    <w:rsid w:val="57FD754E"/>
    <w:rsid w:val="57FEF054"/>
    <w:rsid w:val="57FF76F9"/>
    <w:rsid w:val="5B27C3AC"/>
    <w:rsid w:val="5BABDEC5"/>
    <w:rsid w:val="5BDFA3DF"/>
    <w:rsid w:val="5BEB01AA"/>
    <w:rsid w:val="5BFD30E1"/>
    <w:rsid w:val="5D5F4A20"/>
    <w:rsid w:val="5D7BF844"/>
    <w:rsid w:val="5DBFCF28"/>
    <w:rsid w:val="5DFB2A50"/>
    <w:rsid w:val="5E7F692A"/>
    <w:rsid w:val="5EDD40C0"/>
    <w:rsid w:val="5EDF67C8"/>
    <w:rsid w:val="5EFF05BA"/>
    <w:rsid w:val="5F1F31B7"/>
    <w:rsid w:val="5F3E4F45"/>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6FC48D"/>
    <w:rsid w:val="6F75BB17"/>
    <w:rsid w:val="6F7D0098"/>
    <w:rsid w:val="6FBF8D8F"/>
    <w:rsid w:val="6FCF9866"/>
    <w:rsid w:val="6FDD6BFC"/>
    <w:rsid w:val="6FDFA035"/>
    <w:rsid w:val="6FF52F76"/>
    <w:rsid w:val="6FFDD9A5"/>
    <w:rsid w:val="6FFF0B70"/>
    <w:rsid w:val="6FFFA9D8"/>
    <w:rsid w:val="7092126C"/>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EFF97C"/>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65DAA"/>
    <w:rsid w:val="F7F715EE"/>
    <w:rsid w:val="F7FF61F0"/>
    <w:rsid w:val="F7FFD1F6"/>
    <w:rsid w:val="F8D04070"/>
    <w:rsid w:val="F8E8D507"/>
    <w:rsid w:val="F93B35A3"/>
    <w:rsid w:val="F9841BE9"/>
    <w:rsid w:val="F9FA1080"/>
    <w:rsid w:val="FA3D022F"/>
    <w:rsid w:val="FA7F6236"/>
    <w:rsid w:val="FABC5063"/>
    <w:rsid w:val="FB1FB846"/>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67560"/>
    <w:rsid w:val="FEFB3EE1"/>
    <w:rsid w:val="FEFF92FD"/>
    <w:rsid w:val="FEFFF2F2"/>
    <w:rsid w:val="FF1FC617"/>
    <w:rsid w:val="FF4DFF11"/>
    <w:rsid w:val="FF4F0527"/>
    <w:rsid w:val="FF5BCBA9"/>
    <w:rsid w:val="FF5FD35F"/>
    <w:rsid w:val="FF7C733A"/>
    <w:rsid w:val="FF9C3594"/>
    <w:rsid w:val="FFAF580F"/>
    <w:rsid w:val="FFBB58BA"/>
    <w:rsid w:val="FFBBEB92"/>
    <w:rsid w:val="FFCEDCEE"/>
    <w:rsid w:val="FFD7A303"/>
    <w:rsid w:val="FFD7A69E"/>
    <w:rsid w:val="FFDB1E84"/>
    <w:rsid w:val="FFDD06B4"/>
    <w:rsid w:val="FFDE9A2D"/>
    <w:rsid w:val="FFE57E77"/>
    <w:rsid w:val="FFEB7DAB"/>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4127</Words>
  <Characters>4894</Characters>
  <Lines>38</Lines>
  <Paragraphs>10</Paragraphs>
  <TotalTime>4</TotalTime>
  <ScaleCrop>false</ScaleCrop>
  <LinksUpToDate>false</LinksUpToDate>
  <CharactersWithSpaces>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2021-11-27T02:40:00Z</dcterms:created>
  <dc:creator>牟伶俐</dc:creator>
  <cp:lastModifiedBy>鴻</cp:lastModifiedBy>
  <cp:lastPrinted>2026-05-18T14:54:00Z</cp:lastPrinted>
  <dcterms:modified xsi:type="dcterms:W3CDTF">2026-05-18T09:56:33Z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