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lang w:eastAsia="zh-CN"/>
        </w:rPr>
        <w:t>2025年</w:t>
      </w:r>
      <w:r>
        <w:rPr>
          <w:rFonts w:hint="default" w:ascii="Times New Roman" w:hAnsi="Times New Roman" w:eastAsia="方正小标宋简体" w:cs="Times New Roman"/>
          <w:color w:val="auto"/>
          <w:kern w:val="0"/>
          <w:sz w:val="44"/>
          <w:szCs w:val="44"/>
        </w:rPr>
        <w:t>四川省政府</w:t>
      </w:r>
      <w:r>
        <w:rPr>
          <w:rFonts w:hint="eastAsia" w:eastAsia="方正小标宋简体" w:cs="Times New Roman"/>
          <w:color w:val="auto"/>
          <w:kern w:val="0"/>
          <w:sz w:val="44"/>
          <w:szCs w:val="44"/>
          <w:lang w:eastAsia="zh-CN"/>
        </w:rPr>
        <w:t>一般债券（二期）及专项债券（三十六至四十一期）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val="en-US" w:eastAsia="zh-CN"/>
        </w:rPr>
        <w:t>四川省政府</w:t>
      </w:r>
      <w:r>
        <w:rPr>
          <w:rFonts w:hint="eastAsia" w:ascii="Times New Roman" w:hAnsi="Times New Roman" w:eastAsia="仿宋_GB2312" w:cs="Times New Roman"/>
          <w:color w:val="auto"/>
          <w:sz w:val="32"/>
          <w:szCs w:val="32"/>
          <w:highlight w:val="none"/>
          <w:lang w:val="en-US" w:eastAsia="zh-CN"/>
        </w:rPr>
        <w:t>一般债券（二期）及专项债券（三十六至四十一期）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方正仿宋简体" w:cs="Times New Roman"/>
          <w:spacing w:val="6"/>
          <w:kern w:val="0"/>
          <w:sz w:val="32"/>
          <w:szCs w:val="32"/>
          <w:lang w:val="en-US" w:eastAsia="zh-CN"/>
        </w:rPr>
        <w:t>315.846</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新增</w:t>
      </w:r>
      <w:r>
        <w:rPr>
          <w:rFonts w:hint="default" w:ascii="Times New Roman" w:hAnsi="Times New Roman" w:eastAsia="仿宋_GB2312" w:cs="Times New Roman"/>
          <w:color w:val="auto"/>
          <w:sz w:val="32"/>
          <w:szCs w:val="32"/>
        </w:rPr>
        <w:t>债券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期限</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5年、7</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、10年、15年、20年、30年</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5年期、7</w:t>
      </w:r>
      <w:r>
        <w:rPr>
          <w:rFonts w:hint="default" w:ascii="Times New Roman" w:hAnsi="Times New Roman" w:eastAsia="仿宋_GB2312" w:cs="Times New Roman"/>
          <w:color w:val="auto"/>
          <w:sz w:val="32"/>
          <w:szCs w:val="32"/>
          <w:lang w:val="en-US" w:eastAsia="zh-CN"/>
        </w:rPr>
        <w:t>年期</w:t>
      </w:r>
      <w:r>
        <w:rPr>
          <w:rFonts w:hint="default" w:ascii="Times New Roman" w:hAnsi="Times New Roman" w:eastAsia="仿宋_GB2312" w:cs="Times New Roman"/>
          <w:color w:val="auto"/>
          <w:sz w:val="32"/>
          <w:szCs w:val="32"/>
          <w:lang w:eastAsia="zh-CN"/>
        </w:rPr>
        <w:t>债券利息按年支付</w:t>
      </w:r>
      <w:r>
        <w:rPr>
          <w:rFonts w:hint="eastAsia" w:ascii="Times New Roman" w:hAnsi="Times New Roman" w:eastAsia="仿宋_GB2312" w:cs="Times New Roman"/>
          <w:color w:val="auto"/>
          <w:sz w:val="32"/>
          <w:szCs w:val="32"/>
          <w:lang w:eastAsia="zh-CN"/>
        </w:rPr>
        <w:t>，其余债券利息按半年支付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w:t>
      </w:r>
      <w:r>
        <w:rPr>
          <w:rFonts w:hint="eastAsia" w:ascii="Times New Roman" w:hAnsi="Times New Roman" w:eastAsia="仿宋_GB2312" w:cs="Times New Roman"/>
          <w:color w:val="auto"/>
          <w:sz w:val="32"/>
          <w:szCs w:val="32"/>
          <w:highlight w:val="none"/>
          <w:lang w:eastAsia="zh-CN"/>
        </w:rPr>
        <w:t>一般债券</w:t>
      </w:r>
      <w:r>
        <w:rPr>
          <w:rFonts w:hint="eastAsia" w:ascii="Times New Roman" w:hAnsi="Times New Roman" w:eastAsia="仿宋_GB2312" w:cs="Times New Roman"/>
          <w:color w:val="auto"/>
          <w:sz w:val="32"/>
          <w:szCs w:val="32"/>
          <w:highlight w:val="none"/>
          <w:lang w:val="en" w:eastAsia="zh-CN"/>
        </w:rPr>
        <w:t>（二期）及</w:t>
      </w:r>
      <w:r>
        <w:rPr>
          <w:rFonts w:hint="eastAsia" w:ascii="Times New Roman" w:hAnsi="Times New Roman" w:eastAsia="仿宋_GB2312" w:cs="Times New Roman"/>
          <w:color w:val="auto"/>
          <w:sz w:val="32"/>
          <w:szCs w:val="32"/>
          <w:highlight w:val="none"/>
          <w:lang w:eastAsia="zh-CN"/>
        </w:rPr>
        <w:t>专项债券（三十六至四十一期）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keepNext w:val="0"/>
        <w:keepLines w:val="0"/>
        <w:pageBreakBefore w:val="0"/>
        <w:widowControl w:val="0"/>
        <w:kinsoku/>
        <w:wordWrap/>
        <w:overflowPunct/>
        <w:topLinePunct w:val="0"/>
        <w:autoSpaceDE/>
        <w:autoSpaceDN/>
        <w:bidi w:val="0"/>
        <w:adjustRightInd/>
        <w:snapToGrid/>
        <w:spacing w:line="550" w:lineRule="exact"/>
        <w:ind w:firstLine="66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w:t>
      </w:r>
      <w:r>
        <w:rPr>
          <w:rFonts w:hint="eastAsia" w:ascii="Times New Roman" w:hAnsi="Times New Roman" w:eastAsia="仿宋_GB2312" w:cs="Times New Roman"/>
          <w:color w:val="auto"/>
          <w:sz w:val="32"/>
          <w:szCs w:val="32"/>
          <w:highlight w:val="none"/>
          <w:lang w:eastAsia="zh-CN"/>
        </w:rPr>
        <w:t>一般债券</w:t>
      </w:r>
      <w:r>
        <w:rPr>
          <w:rFonts w:hint="eastAsia" w:ascii="Times New Roman" w:hAnsi="Times New Roman" w:eastAsia="仿宋_GB2312" w:cs="Times New Roman"/>
          <w:color w:val="auto"/>
          <w:sz w:val="32"/>
          <w:szCs w:val="32"/>
          <w:highlight w:val="none"/>
          <w:lang w:val="en" w:eastAsia="zh-CN"/>
        </w:rPr>
        <w:t>（二期）及</w:t>
      </w:r>
      <w:r>
        <w:rPr>
          <w:rFonts w:hint="eastAsia" w:ascii="Times New Roman" w:hAnsi="Times New Roman" w:eastAsia="仿宋_GB2312" w:cs="Times New Roman"/>
          <w:color w:val="auto"/>
          <w:sz w:val="32"/>
          <w:szCs w:val="32"/>
          <w:highlight w:val="none"/>
          <w:lang w:eastAsia="zh-CN"/>
        </w:rPr>
        <w:t>专项债券（三十六至四十一期）</w:t>
      </w:r>
      <w:r>
        <w:rPr>
          <w:rFonts w:hint="default" w:ascii="Times New Roman" w:hAnsi="Times New Roman" w:eastAsia="仿宋_GB2312" w:cs="Times New Roman"/>
          <w:color w:val="auto"/>
          <w:sz w:val="32"/>
          <w:szCs w:val="32"/>
          <w:highlight w:val="none"/>
        </w:rPr>
        <w:t>通过招标方式发行。四川省财政厅于招标日通过财政部上海证券交易所政府债券发行系统组织招投标工作，参与机构为</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四川省政府债券承销团成员。招标发行具体安排详见四川省财政厅《关于印发〈四川省政府债券公开招标发行与兑付管理办法〉的通知》《关于印发〈四川省政府债券招标发行规则〉的通知》《关于发行</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w:t>
      </w:r>
      <w:r>
        <w:rPr>
          <w:rFonts w:hint="eastAsia" w:ascii="Times New Roman" w:hAnsi="Times New Roman" w:eastAsia="仿宋_GB2312" w:cs="Times New Roman"/>
          <w:color w:val="auto"/>
          <w:sz w:val="32"/>
          <w:szCs w:val="32"/>
          <w:highlight w:val="none"/>
          <w:lang w:eastAsia="zh-CN"/>
        </w:rPr>
        <w:t>一般债券</w:t>
      </w:r>
      <w:r>
        <w:rPr>
          <w:rFonts w:hint="eastAsia" w:ascii="Times New Roman" w:hAnsi="Times New Roman" w:eastAsia="仿宋_GB2312" w:cs="Times New Roman"/>
          <w:color w:val="auto"/>
          <w:sz w:val="32"/>
          <w:szCs w:val="32"/>
          <w:highlight w:val="none"/>
          <w:lang w:val="en" w:eastAsia="zh-CN"/>
        </w:rPr>
        <w:t>（二期）</w:t>
      </w:r>
      <w:r>
        <w:rPr>
          <w:rFonts w:hint="eastAsia" w:ascii="Times New Roman" w:hAnsi="Times New Roman" w:eastAsia="仿宋_GB2312" w:cs="Times New Roman"/>
          <w:color w:val="auto"/>
          <w:sz w:val="32"/>
          <w:szCs w:val="32"/>
          <w:highlight w:val="none"/>
          <w:lang w:eastAsia="zh-CN"/>
        </w:rPr>
        <w:t>及专项债券（三十六至四十一期）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仿宋_GB2312" w:cs="Times New Roman"/>
          <w:sz w:val="32"/>
          <w:szCs w:val="32"/>
        </w:rPr>
        <w:t>按照财政部要求</w:t>
      </w:r>
      <w:r>
        <w:rPr>
          <w:rFonts w:hint="default" w:ascii="Times New Roman" w:hAnsi="Times New Roman" w:eastAsia="仿宋_GB2312" w:cs="Times New Roman"/>
          <w:sz w:val="32"/>
          <w:szCs w:val="32"/>
          <w:lang w:eastAsia="zh-CN"/>
        </w:rPr>
        <w:t>，</w:t>
      </w:r>
      <w:r>
        <w:rPr>
          <w:rFonts w:hint="eastAsia" w:ascii="仿宋_GB2312"/>
          <w:color w:val="000000" w:themeColor="text1"/>
          <w:sz w:val="32"/>
          <w:szCs w:val="32"/>
          <w14:textFill>
            <w14:solidFill>
              <w14:schemeClr w14:val="tx1"/>
            </w14:solidFill>
          </w14:textFill>
        </w:rPr>
        <w:t>一般债券纳入一般公共预算管理</w:t>
      </w:r>
      <w:r>
        <w:rPr>
          <w:rFonts w:hint="eastAsia" w:ascii="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专项债券纳入政府性基金预算管理</w:t>
      </w:r>
      <w:r>
        <w:rPr>
          <w:rFonts w:hint="eastAsia" w:cs="Times New Roman"/>
          <w:sz w:val="32"/>
          <w:szCs w:val="32"/>
          <w:lang w:val="en-US" w:eastAsia="zh-CN"/>
        </w:rPr>
        <w:t>。</w:t>
      </w:r>
      <w:r>
        <w:rPr>
          <w:rFonts w:hint="eastAsia" w:ascii="仿宋_GB2312"/>
          <w:color w:val="000000" w:themeColor="text1"/>
          <w:sz w:val="32"/>
          <w:szCs w:val="32"/>
          <w14:textFill>
            <w14:solidFill>
              <w14:schemeClr w14:val="tx1"/>
            </w14:solidFill>
          </w14:textFill>
        </w:rPr>
        <w:t>本期</w:t>
      </w:r>
      <w:r>
        <w:rPr>
          <w:rFonts w:hint="eastAsia" w:ascii="仿宋_GB2312"/>
          <w:color w:val="000000" w:themeColor="text1"/>
          <w:sz w:val="32"/>
          <w:szCs w:val="32"/>
          <w:lang w:eastAsia="zh-CN"/>
          <w14:textFill>
            <w14:solidFill>
              <w14:schemeClr w14:val="tx1"/>
            </w14:solidFill>
          </w14:textFill>
        </w:rPr>
        <w:t>一般</w:t>
      </w:r>
      <w:r>
        <w:rPr>
          <w:rFonts w:hint="eastAsia" w:ascii="仿宋_GB2312"/>
          <w:color w:val="000000" w:themeColor="text1"/>
          <w:sz w:val="32"/>
          <w:szCs w:val="32"/>
          <w14:textFill>
            <w14:solidFill>
              <w14:schemeClr w14:val="tx1"/>
            </w14:solidFill>
          </w14:textFill>
        </w:rPr>
        <w:t>债券募集</w:t>
      </w:r>
      <w:r>
        <w:rPr>
          <w:rFonts w:hint="eastAsia" w:ascii="仿宋_GB2312"/>
          <w:color w:val="auto"/>
          <w:sz w:val="32"/>
          <w:szCs w:val="32"/>
        </w:rPr>
        <w:t>资金用于</w:t>
      </w:r>
      <w:r>
        <w:rPr>
          <w:rFonts w:hint="eastAsia" w:ascii="仿宋_GB2312"/>
          <w:color w:val="auto"/>
          <w:sz w:val="32"/>
          <w:szCs w:val="32"/>
          <w:highlight w:val="none"/>
          <w:lang w:eastAsia="zh-CN"/>
        </w:rPr>
        <w:t>交通基础设施、水利</w:t>
      </w:r>
      <w:r>
        <w:rPr>
          <w:rFonts w:hint="eastAsia" w:ascii="仿宋_GB2312"/>
          <w:color w:val="auto"/>
          <w:sz w:val="32"/>
          <w:szCs w:val="32"/>
          <w:highlight w:val="none"/>
          <w:lang w:val="en-US" w:eastAsia="zh-CN"/>
        </w:rPr>
        <w:t>、教育</w:t>
      </w:r>
      <w:r>
        <w:rPr>
          <w:rFonts w:hint="eastAsia" w:ascii="仿宋_GB2312"/>
          <w:color w:val="auto"/>
          <w:sz w:val="32"/>
          <w:szCs w:val="32"/>
          <w:highlight w:val="none"/>
        </w:rPr>
        <w:t>等</w:t>
      </w:r>
      <w:r>
        <w:rPr>
          <w:rFonts w:hint="eastAsia" w:ascii="仿宋_GB2312"/>
          <w:color w:val="auto"/>
          <w:sz w:val="32"/>
          <w:szCs w:val="32"/>
          <w:highlight w:val="none"/>
          <w:lang w:eastAsia="zh-CN"/>
        </w:rPr>
        <w:t>领域</w:t>
      </w:r>
      <w:r>
        <w:rPr>
          <w:rFonts w:hint="default" w:ascii="Times New Roman" w:hAnsi="Times New Roman" w:eastAsia="仿宋_GB2312" w:cs="Times New Roman"/>
          <w:sz w:val="32"/>
          <w:szCs w:val="32"/>
          <w:lang w:val="en-US" w:eastAsia="zh-CN"/>
        </w:rPr>
        <w:t>。本批新增</w:t>
      </w:r>
      <w:r>
        <w:rPr>
          <w:rFonts w:hint="default" w:ascii="Times New Roman" w:hAnsi="Times New Roman" w:eastAsia="仿宋_GB2312" w:cs="Times New Roman"/>
          <w:sz w:val="32"/>
          <w:szCs w:val="32"/>
        </w:rPr>
        <w:t>专项债券各期债券项目情况详见附件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w:t>
      </w:r>
      <w:r>
        <w:rPr>
          <w:rFonts w:hint="eastAsia" w:ascii="Times New Roman" w:hAnsi="Times New Roman" w:eastAsia="仿宋_GB2312" w:cs="Times New Roman"/>
          <w:color w:val="auto"/>
          <w:sz w:val="32"/>
          <w:szCs w:val="32"/>
          <w:highlight w:val="none"/>
          <w:lang w:eastAsia="zh-CN"/>
        </w:rPr>
        <w:t>一般债券（二期）及专项债券（三十六至四十一期）</w:t>
      </w:r>
      <w:r>
        <w:rPr>
          <w:rFonts w:hint="default" w:ascii="Times New Roman" w:hAnsi="Times New Roman" w:eastAsia="仿宋_GB2312" w:cs="Times New Roman"/>
          <w:color w:val="auto"/>
          <w:sz w:val="32"/>
          <w:szCs w:val="32"/>
          <w:highlight w:val="none"/>
        </w:rPr>
        <w:t>债券信用级别均为AAA。在</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w:t>
      </w:r>
      <w:r>
        <w:rPr>
          <w:rFonts w:hint="eastAsia" w:ascii="Times New Roman" w:hAnsi="Times New Roman" w:eastAsia="仿宋_GB2312" w:cs="Times New Roman"/>
          <w:color w:val="auto"/>
          <w:sz w:val="32"/>
          <w:szCs w:val="32"/>
          <w:highlight w:val="none"/>
          <w:lang w:eastAsia="zh-CN"/>
        </w:rPr>
        <w:t>一般债券（二期）及专项债券（三十六至四十一期）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w:t>
      </w:r>
      <w:bookmarkStart w:id="0" w:name="_GoBack"/>
      <w:bookmarkEnd w:id="0"/>
      <w:r>
        <w:rPr>
          <w:rFonts w:hint="eastAsia" w:ascii="Times New Roman" w:hAnsi="Times New Roman" w:eastAsia="仿宋_GB2312" w:cs="Times New Roman"/>
          <w:color w:val="auto"/>
          <w:sz w:val="32"/>
          <w:szCs w:val="32"/>
          <w:highlight w:val="none"/>
          <w:lang w:val="en-US" w:eastAsia="zh-CN"/>
        </w:rPr>
        <w:t>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eastAsia" w:cs="Times New Roman"/>
          <w:kern w:val="0"/>
          <w:sz w:val="32"/>
          <w:szCs w:val="32"/>
          <w:lang w:val="zh-CN"/>
        </w:rPr>
      </w:pPr>
      <w:r>
        <w:rPr>
          <w:rFonts w:hint="default" w:ascii="Times New Roman" w:hAnsi="Times New Roman" w:cs="Times New Roman"/>
          <w:kern w:val="0"/>
          <w:sz w:val="32"/>
          <w:szCs w:val="32"/>
          <w:lang w:val="zh-CN"/>
        </w:rPr>
        <w:t>附件：1.</w:t>
      </w:r>
      <w:r>
        <w:rPr>
          <w:rFonts w:hint="default" w:ascii="Times New Roman" w:hAnsi="Times New Roman" w:eastAsia="仿宋_GB2312" w:cs="Times New Roman"/>
          <w:sz w:val="32"/>
          <w:szCs w:val="24"/>
        </w:rPr>
        <w:t>202</w:t>
      </w:r>
      <w:r>
        <w:rPr>
          <w:rFonts w:hint="eastAsia" w:cs="Times New Roman"/>
          <w:sz w:val="32"/>
          <w:szCs w:val="24"/>
          <w:lang w:val="en-US" w:eastAsia="zh-CN"/>
        </w:rPr>
        <w:t>5</w:t>
      </w:r>
      <w:r>
        <w:rPr>
          <w:rFonts w:hint="default" w:ascii="Times New Roman" w:hAnsi="Times New Roman" w:eastAsia="仿宋_GB2312" w:cs="Times New Roman"/>
          <w:sz w:val="32"/>
          <w:szCs w:val="24"/>
        </w:rPr>
        <w:t>年四川省政府专项债券</w:t>
      </w:r>
      <w:r>
        <w:rPr>
          <w:rFonts w:hint="eastAsia" w:ascii="Times New Roman" w:hAnsi="Times New Roman" w:eastAsia="仿宋_GB2312" w:cs="Times New Roman"/>
          <w:color w:val="auto"/>
          <w:sz w:val="32"/>
          <w:szCs w:val="32"/>
          <w:highlight w:val="none"/>
          <w:lang w:eastAsia="zh-CN"/>
        </w:rPr>
        <w:t>（三十六至四十一期）</w:t>
      </w:r>
      <w:r>
        <w:rPr>
          <w:rFonts w:hint="default" w:ascii="Times New Roman" w:hAnsi="Times New Roman" w:cs="Times New Roman"/>
          <w:kern w:val="0"/>
          <w:sz w:val="32"/>
          <w:szCs w:val="32"/>
          <w:lang w:val="zh-CN"/>
        </w:rPr>
        <w:t>各期项目</w:t>
      </w:r>
      <w:r>
        <w:rPr>
          <w:rFonts w:hint="eastAsia" w:cs="Times New Roman"/>
          <w:kern w:val="0"/>
          <w:sz w:val="32"/>
          <w:szCs w:val="32"/>
          <w:lang w:val="zh-CN"/>
        </w:rPr>
        <w:t>清单</w:t>
      </w: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lang w:val="zh-CN"/>
        </w:rPr>
      </w:pPr>
      <w:r>
        <w:rPr>
          <w:rFonts w:hint="default" w:ascii="Times New Roman" w:hAnsi="Times New Roman" w:cs="Times New Roman"/>
          <w:kern w:val="0"/>
          <w:sz w:val="32"/>
          <w:szCs w:val="32"/>
          <w:lang w:val="zh-CN"/>
        </w:rPr>
        <w:t xml:space="preserve">      2.</w:t>
      </w:r>
      <w:r>
        <w:rPr>
          <w:rFonts w:hint="default" w:ascii="Times New Roman" w:hAnsi="Times New Roman" w:eastAsia="仿宋_GB2312" w:cs="Times New Roman"/>
          <w:sz w:val="32"/>
          <w:szCs w:val="24"/>
        </w:rPr>
        <w:t>202</w:t>
      </w:r>
      <w:r>
        <w:rPr>
          <w:rFonts w:hint="eastAsia" w:cs="Times New Roman"/>
          <w:sz w:val="32"/>
          <w:szCs w:val="24"/>
          <w:lang w:val="en-US" w:eastAsia="zh-CN"/>
        </w:rPr>
        <w:t>5</w:t>
      </w:r>
      <w:r>
        <w:rPr>
          <w:rFonts w:hint="default" w:ascii="Times New Roman" w:hAnsi="Times New Roman" w:eastAsia="仿宋_GB2312" w:cs="Times New Roman"/>
          <w:sz w:val="32"/>
          <w:szCs w:val="24"/>
        </w:rPr>
        <w:t>年四川省政府专项债券</w:t>
      </w:r>
      <w:r>
        <w:rPr>
          <w:rFonts w:hint="eastAsia" w:ascii="Times New Roman" w:hAnsi="Times New Roman" w:eastAsia="仿宋_GB2312" w:cs="Times New Roman"/>
          <w:color w:val="auto"/>
          <w:sz w:val="32"/>
          <w:szCs w:val="32"/>
          <w:highlight w:val="none"/>
          <w:lang w:eastAsia="zh-CN"/>
        </w:rPr>
        <w:t>（三十六至四十一期）</w:t>
      </w:r>
      <w:r>
        <w:rPr>
          <w:rFonts w:hint="default" w:ascii="Times New Roman" w:hAnsi="Times New Roman" w:cs="Times New Roman"/>
          <w:kern w:val="0"/>
          <w:sz w:val="32"/>
          <w:szCs w:val="32"/>
          <w:lang w:val="zh-CN"/>
        </w:rPr>
        <w:t>各期债券法律意见书</w:t>
      </w: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lang w:val="zh-CN"/>
        </w:rPr>
      </w:pPr>
      <w:r>
        <w:rPr>
          <w:rFonts w:hint="default" w:ascii="Times New Roman" w:hAnsi="Times New Roman" w:cs="Times New Roman"/>
          <w:kern w:val="0"/>
          <w:sz w:val="32"/>
          <w:szCs w:val="32"/>
          <w:lang w:val="zh-CN"/>
        </w:rPr>
        <w:t xml:space="preserve">      3.</w:t>
      </w:r>
      <w:r>
        <w:rPr>
          <w:rFonts w:hint="default" w:ascii="Times New Roman" w:hAnsi="Times New Roman" w:eastAsia="仿宋_GB2312" w:cs="Times New Roman"/>
          <w:sz w:val="32"/>
          <w:szCs w:val="24"/>
        </w:rPr>
        <w:t>202</w:t>
      </w:r>
      <w:r>
        <w:rPr>
          <w:rFonts w:hint="eastAsia" w:cs="Times New Roman"/>
          <w:sz w:val="32"/>
          <w:szCs w:val="24"/>
          <w:lang w:val="en-US" w:eastAsia="zh-CN"/>
        </w:rPr>
        <w:t>5</w:t>
      </w:r>
      <w:r>
        <w:rPr>
          <w:rFonts w:hint="default" w:ascii="Times New Roman" w:hAnsi="Times New Roman" w:eastAsia="仿宋_GB2312" w:cs="Times New Roman"/>
          <w:sz w:val="32"/>
          <w:szCs w:val="24"/>
        </w:rPr>
        <w:t>年四川省政府专项债券</w:t>
      </w:r>
      <w:r>
        <w:rPr>
          <w:rFonts w:hint="eastAsia" w:ascii="Times New Roman" w:hAnsi="Times New Roman" w:eastAsia="仿宋_GB2312" w:cs="Times New Roman"/>
          <w:color w:val="auto"/>
          <w:sz w:val="32"/>
          <w:szCs w:val="32"/>
          <w:highlight w:val="none"/>
          <w:lang w:eastAsia="zh-CN"/>
        </w:rPr>
        <w:t>（三十六至四十一期）</w:t>
      </w:r>
      <w:r>
        <w:rPr>
          <w:rFonts w:hint="default" w:ascii="Times New Roman" w:hAnsi="Times New Roman" w:cs="Times New Roman"/>
          <w:kern w:val="0"/>
          <w:sz w:val="32"/>
          <w:szCs w:val="32"/>
          <w:lang w:val="zh-CN"/>
        </w:rPr>
        <w:t>各期债券财务评估报告</w:t>
      </w: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22</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A365806"/>
    <w:rsid w:val="0AC319AC"/>
    <w:rsid w:val="0F5E2B9C"/>
    <w:rsid w:val="0FCAD5FD"/>
    <w:rsid w:val="121A2353"/>
    <w:rsid w:val="12EB54C2"/>
    <w:rsid w:val="15EFB84A"/>
    <w:rsid w:val="16974C50"/>
    <w:rsid w:val="16BFDA76"/>
    <w:rsid w:val="177D3A52"/>
    <w:rsid w:val="17B6C2A3"/>
    <w:rsid w:val="17CE2129"/>
    <w:rsid w:val="17FFA77D"/>
    <w:rsid w:val="1B672BB3"/>
    <w:rsid w:val="1B67B585"/>
    <w:rsid w:val="1B7FC8E2"/>
    <w:rsid w:val="1BF15E06"/>
    <w:rsid w:val="1BFA4442"/>
    <w:rsid w:val="1BFFC1B4"/>
    <w:rsid w:val="1D3C0843"/>
    <w:rsid w:val="1E584D33"/>
    <w:rsid w:val="1EF3C8EF"/>
    <w:rsid w:val="1F7F37F3"/>
    <w:rsid w:val="1FB95731"/>
    <w:rsid w:val="1FEF0EED"/>
    <w:rsid w:val="1FF86D77"/>
    <w:rsid w:val="273A1534"/>
    <w:rsid w:val="27EF5ADE"/>
    <w:rsid w:val="27FB4DFE"/>
    <w:rsid w:val="292BBD26"/>
    <w:rsid w:val="29447E57"/>
    <w:rsid w:val="2C335417"/>
    <w:rsid w:val="2C7D2D04"/>
    <w:rsid w:val="2D2F22EB"/>
    <w:rsid w:val="2DB07824"/>
    <w:rsid w:val="2DBF1862"/>
    <w:rsid w:val="2E7BB22E"/>
    <w:rsid w:val="2ED5C25D"/>
    <w:rsid w:val="2FFB7B0E"/>
    <w:rsid w:val="33BD96C9"/>
    <w:rsid w:val="3478FD3B"/>
    <w:rsid w:val="35FD6B84"/>
    <w:rsid w:val="35FF6C41"/>
    <w:rsid w:val="35FFA103"/>
    <w:rsid w:val="365FE963"/>
    <w:rsid w:val="37D270A9"/>
    <w:rsid w:val="37F7809A"/>
    <w:rsid w:val="399565E0"/>
    <w:rsid w:val="3ADDA097"/>
    <w:rsid w:val="3B7E7D56"/>
    <w:rsid w:val="3BBE0F9A"/>
    <w:rsid w:val="3BCF7730"/>
    <w:rsid w:val="3BF725E0"/>
    <w:rsid w:val="3BFBF273"/>
    <w:rsid w:val="3BFD26E4"/>
    <w:rsid w:val="3BFF0771"/>
    <w:rsid w:val="3CFF72C5"/>
    <w:rsid w:val="3D9DD624"/>
    <w:rsid w:val="3DAB5EBA"/>
    <w:rsid w:val="3DEFA9F2"/>
    <w:rsid w:val="3DF3C86E"/>
    <w:rsid w:val="3ECAC84C"/>
    <w:rsid w:val="3EFB41F2"/>
    <w:rsid w:val="3F5F4240"/>
    <w:rsid w:val="3F7BEE77"/>
    <w:rsid w:val="3FB668E4"/>
    <w:rsid w:val="3FBFF260"/>
    <w:rsid w:val="3FD92A3E"/>
    <w:rsid w:val="3FEF23FA"/>
    <w:rsid w:val="3FF0DCC8"/>
    <w:rsid w:val="3FF57F37"/>
    <w:rsid w:val="3FF7137C"/>
    <w:rsid w:val="3FF71C72"/>
    <w:rsid w:val="3FFB5F92"/>
    <w:rsid w:val="3FFF50AD"/>
    <w:rsid w:val="408E73B5"/>
    <w:rsid w:val="41111765"/>
    <w:rsid w:val="4305631D"/>
    <w:rsid w:val="45F8CE6B"/>
    <w:rsid w:val="47BF50EF"/>
    <w:rsid w:val="47DFF301"/>
    <w:rsid w:val="48BFAD72"/>
    <w:rsid w:val="4D32FB4C"/>
    <w:rsid w:val="4EBF3093"/>
    <w:rsid w:val="4EDFAE00"/>
    <w:rsid w:val="4FAF7337"/>
    <w:rsid w:val="4FFAE02C"/>
    <w:rsid w:val="4FFF460D"/>
    <w:rsid w:val="536F073F"/>
    <w:rsid w:val="53731939"/>
    <w:rsid w:val="53E90DC1"/>
    <w:rsid w:val="542F0169"/>
    <w:rsid w:val="54680721"/>
    <w:rsid w:val="54F3BD53"/>
    <w:rsid w:val="54FF9442"/>
    <w:rsid w:val="554D5EAC"/>
    <w:rsid w:val="57BAD169"/>
    <w:rsid w:val="57DF3D15"/>
    <w:rsid w:val="57DFDC94"/>
    <w:rsid w:val="57EB7B42"/>
    <w:rsid w:val="57FD754E"/>
    <w:rsid w:val="57FEF054"/>
    <w:rsid w:val="57FF76F9"/>
    <w:rsid w:val="59367C34"/>
    <w:rsid w:val="5B27C3AC"/>
    <w:rsid w:val="5BABDEC5"/>
    <w:rsid w:val="5BDFA3DF"/>
    <w:rsid w:val="5BEB01AA"/>
    <w:rsid w:val="5BFD30E1"/>
    <w:rsid w:val="5D5F4A20"/>
    <w:rsid w:val="5D7BF844"/>
    <w:rsid w:val="5DBFCF28"/>
    <w:rsid w:val="5DFB2A50"/>
    <w:rsid w:val="5E7F692A"/>
    <w:rsid w:val="5EDF67C8"/>
    <w:rsid w:val="5EFF05BA"/>
    <w:rsid w:val="5F1F31B7"/>
    <w:rsid w:val="5F3E4F45"/>
    <w:rsid w:val="5F6F1C9E"/>
    <w:rsid w:val="5F7E92C4"/>
    <w:rsid w:val="5FAB9A0B"/>
    <w:rsid w:val="5FE12A79"/>
    <w:rsid w:val="5FE56F25"/>
    <w:rsid w:val="5FEFBC4C"/>
    <w:rsid w:val="5FF876FE"/>
    <w:rsid w:val="5FFD044C"/>
    <w:rsid w:val="5FFFD7D0"/>
    <w:rsid w:val="5FFFFB39"/>
    <w:rsid w:val="60D82ACC"/>
    <w:rsid w:val="616B1851"/>
    <w:rsid w:val="626D2A76"/>
    <w:rsid w:val="62FEF3EA"/>
    <w:rsid w:val="63F53E4A"/>
    <w:rsid w:val="64112789"/>
    <w:rsid w:val="671013B3"/>
    <w:rsid w:val="69DC461E"/>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6FC48D"/>
    <w:rsid w:val="6F75BB17"/>
    <w:rsid w:val="6F7D0098"/>
    <w:rsid w:val="6FBF8D8F"/>
    <w:rsid w:val="6FCF9866"/>
    <w:rsid w:val="6FDD6BFC"/>
    <w:rsid w:val="6FDFA035"/>
    <w:rsid w:val="6FF52F76"/>
    <w:rsid w:val="6FFDD9A5"/>
    <w:rsid w:val="6FFF0B70"/>
    <w:rsid w:val="6FFFA9D8"/>
    <w:rsid w:val="71775D74"/>
    <w:rsid w:val="71BA0C33"/>
    <w:rsid w:val="71F33F0B"/>
    <w:rsid w:val="72FF21FE"/>
    <w:rsid w:val="73577D8C"/>
    <w:rsid w:val="73F8844F"/>
    <w:rsid w:val="73FEF53F"/>
    <w:rsid w:val="74BF941C"/>
    <w:rsid w:val="74DEBB8B"/>
    <w:rsid w:val="74EFE397"/>
    <w:rsid w:val="75134281"/>
    <w:rsid w:val="755ABB90"/>
    <w:rsid w:val="7567AB9C"/>
    <w:rsid w:val="7575281D"/>
    <w:rsid w:val="757F2BD9"/>
    <w:rsid w:val="757F9695"/>
    <w:rsid w:val="75ED567D"/>
    <w:rsid w:val="75FFBE1C"/>
    <w:rsid w:val="769FD087"/>
    <w:rsid w:val="76BE1A6C"/>
    <w:rsid w:val="76EEFE23"/>
    <w:rsid w:val="76F7792E"/>
    <w:rsid w:val="770F83CD"/>
    <w:rsid w:val="777D983C"/>
    <w:rsid w:val="77BF985E"/>
    <w:rsid w:val="77EB0A30"/>
    <w:rsid w:val="77FD2DD1"/>
    <w:rsid w:val="77FFD227"/>
    <w:rsid w:val="77FFE042"/>
    <w:rsid w:val="786F6BBB"/>
    <w:rsid w:val="789125A4"/>
    <w:rsid w:val="7955109C"/>
    <w:rsid w:val="79A96382"/>
    <w:rsid w:val="79C33213"/>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7377E8"/>
    <w:rsid w:val="7DBF6886"/>
    <w:rsid w:val="7DBFA8D5"/>
    <w:rsid w:val="7DDDD8B2"/>
    <w:rsid w:val="7DDE0CEE"/>
    <w:rsid w:val="7DFC5C92"/>
    <w:rsid w:val="7DFE5D73"/>
    <w:rsid w:val="7DFF7E4E"/>
    <w:rsid w:val="7DFFDAF8"/>
    <w:rsid w:val="7EB8A718"/>
    <w:rsid w:val="7ED7E27B"/>
    <w:rsid w:val="7EDC4E86"/>
    <w:rsid w:val="7EDE09CB"/>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F1975"/>
    <w:rsid w:val="7FFF391B"/>
    <w:rsid w:val="7FFF633F"/>
    <w:rsid w:val="7FFF8903"/>
    <w:rsid w:val="7FFFAD8B"/>
    <w:rsid w:val="8EBF225C"/>
    <w:rsid w:val="8F5D59A4"/>
    <w:rsid w:val="8F5F6B2D"/>
    <w:rsid w:val="8FE51746"/>
    <w:rsid w:val="8FFB0B75"/>
    <w:rsid w:val="97BF2327"/>
    <w:rsid w:val="98B74015"/>
    <w:rsid w:val="9B9C1F6C"/>
    <w:rsid w:val="9BDF3334"/>
    <w:rsid w:val="9C7EF351"/>
    <w:rsid w:val="9D7B2324"/>
    <w:rsid w:val="9F8F6FA3"/>
    <w:rsid w:val="9FCE4ACA"/>
    <w:rsid w:val="9FCF73E5"/>
    <w:rsid w:val="9FD4B984"/>
    <w:rsid w:val="9FFB9794"/>
    <w:rsid w:val="9FFC9604"/>
    <w:rsid w:val="9FFFDB11"/>
    <w:rsid w:val="A5FE2FD1"/>
    <w:rsid w:val="A67C683F"/>
    <w:rsid w:val="A7DBCE3C"/>
    <w:rsid w:val="ABBBED28"/>
    <w:rsid w:val="AD9F8C9A"/>
    <w:rsid w:val="ADEC83D2"/>
    <w:rsid w:val="ADFF10CC"/>
    <w:rsid w:val="AECFD7CF"/>
    <w:rsid w:val="AEFF80E1"/>
    <w:rsid w:val="AF7EFD40"/>
    <w:rsid w:val="AFEDA70A"/>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F73F6B"/>
    <w:rsid w:val="BDFF14D8"/>
    <w:rsid w:val="BE7DF3AB"/>
    <w:rsid w:val="BEEB588E"/>
    <w:rsid w:val="BEFC921C"/>
    <w:rsid w:val="BEFF10AD"/>
    <w:rsid w:val="BF5E20FA"/>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7F0D62"/>
    <w:rsid w:val="D1F503FA"/>
    <w:rsid w:val="D3FF088E"/>
    <w:rsid w:val="D6BD08E7"/>
    <w:rsid w:val="D6EB119C"/>
    <w:rsid w:val="D6FDA787"/>
    <w:rsid w:val="D77A959F"/>
    <w:rsid w:val="D77F9707"/>
    <w:rsid w:val="D7B710EC"/>
    <w:rsid w:val="D97BE255"/>
    <w:rsid w:val="DACF21D7"/>
    <w:rsid w:val="DB5DBF45"/>
    <w:rsid w:val="DB7387A1"/>
    <w:rsid w:val="DBA799E2"/>
    <w:rsid w:val="DC7ABEE3"/>
    <w:rsid w:val="DC7F37B0"/>
    <w:rsid w:val="DC9E4C42"/>
    <w:rsid w:val="DD5FA653"/>
    <w:rsid w:val="DDC3496C"/>
    <w:rsid w:val="DDFB2394"/>
    <w:rsid w:val="DE77926B"/>
    <w:rsid w:val="DE7DE59B"/>
    <w:rsid w:val="DECF51FA"/>
    <w:rsid w:val="DEE262E6"/>
    <w:rsid w:val="DEEFF9CF"/>
    <w:rsid w:val="DF3F2014"/>
    <w:rsid w:val="DF9FAA1C"/>
    <w:rsid w:val="DFBBD75C"/>
    <w:rsid w:val="DFD9770E"/>
    <w:rsid w:val="DFDD016C"/>
    <w:rsid w:val="DFDF029D"/>
    <w:rsid w:val="DFE61A72"/>
    <w:rsid w:val="DFF34AD3"/>
    <w:rsid w:val="DFF39B79"/>
    <w:rsid w:val="DFFB60A3"/>
    <w:rsid w:val="DFFD31B0"/>
    <w:rsid w:val="DFFF47CA"/>
    <w:rsid w:val="DFFFAE61"/>
    <w:rsid w:val="E2DB5A87"/>
    <w:rsid w:val="E5FC02D1"/>
    <w:rsid w:val="E6BB69F9"/>
    <w:rsid w:val="E6EF37CC"/>
    <w:rsid w:val="E72F10DC"/>
    <w:rsid w:val="E743DF1D"/>
    <w:rsid w:val="E778A862"/>
    <w:rsid w:val="E7DF50C1"/>
    <w:rsid w:val="E87B70A2"/>
    <w:rsid w:val="E8D76BCE"/>
    <w:rsid w:val="E97F65EC"/>
    <w:rsid w:val="EADC83D7"/>
    <w:rsid w:val="EBDECC2E"/>
    <w:rsid w:val="ECEAAF28"/>
    <w:rsid w:val="EDBFD3AA"/>
    <w:rsid w:val="EDEF4004"/>
    <w:rsid w:val="EDFD232B"/>
    <w:rsid w:val="EDFE5F27"/>
    <w:rsid w:val="EDFFCF00"/>
    <w:rsid w:val="EE8AFE1C"/>
    <w:rsid w:val="EEFA5F6E"/>
    <w:rsid w:val="EF3FE0F5"/>
    <w:rsid w:val="EF5DC768"/>
    <w:rsid w:val="EFABB031"/>
    <w:rsid w:val="EFADAA4C"/>
    <w:rsid w:val="EFD55489"/>
    <w:rsid w:val="EFE31411"/>
    <w:rsid w:val="EFEF0094"/>
    <w:rsid w:val="F1F395D8"/>
    <w:rsid w:val="F1FF3360"/>
    <w:rsid w:val="F2DEA05A"/>
    <w:rsid w:val="F2FF3A7A"/>
    <w:rsid w:val="F3794464"/>
    <w:rsid w:val="F3CF073D"/>
    <w:rsid w:val="F3FA869C"/>
    <w:rsid w:val="F4FF43E7"/>
    <w:rsid w:val="F4FF84A5"/>
    <w:rsid w:val="F57D3FA1"/>
    <w:rsid w:val="F5B7575D"/>
    <w:rsid w:val="F5D77FD0"/>
    <w:rsid w:val="F5FE7683"/>
    <w:rsid w:val="F639FDF8"/>
    <w:rsid w:val="F7798D0D"/>
    <w:rsid w:val="F7BFF8A7"/>
    <w:rsid w:val="F7D76496"/>
    <w:rsid w:val="F7DB7B04"/>
    <w:rsid w:val="F7EDAF2A"/>
    <w:rsid w:val="F7EEC0BA"/>
    <w:rsid w:val="F7F597CB"/>
    <w:rsid w:val="F7F715EE"/>
    <w:rsid w:val="F7FF61F0"/>
    <w:rsid w:val="F7FFD1F6"/>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1F523"/>
    <w:rsid w:val="FEB7EB15"/>
    <w:rsid w:val="FEDB0CBA"/>
    <w:rsid w:val="FEEFC20F"/>
    <w:rsid w:val="FEFB3EE1"/>
    <w:rsid w:val="FEFF92FD"/>
    <w:rsid w:val="FEFFF2F2"/>
    <w:rsid w:val="FF1FC617"/>
    <w:rsid w:val="FF4DFF11"/>
    <w:rsid w:val="FF4F0527"/>
    <w:rsid w:val="FF5BCBA9"/>
    <w:rsid w:val="FF5FD35F"/>
    <w:rsid w:val="FF7C733A"/>
    <w:rsid w:val="FF9C3594"/>
    <w:rsid w:val="FFAF580F"/>
    <w:rsid w:val="FFBB58BA"/>
    <w:rsid w:val="FFBBEB92"/>
    <w:rsid w:val="FFCEDCEE"/>
    <w:rsid w:val="FFD7A303"/>
    <w:rsid w:val="FFD7A69E"/>
    <w:rsid w:val="FFDB1E84"/>
    <w:rsid w:val="FFDD06B4"/>
    <w:rsid w:val="FFDE9A2D"/>
    <w:rsid w:val="FFE57E77"/>
    <w:rsid w:val="FFEB7DAB"/>
    <w:rsid w:val="FFEC12BB"/>
    <w:rsid w:val="FFECA782"/>
    <w:rsid w:val="FFED928B"/>
    <w:rsid w:val="FFEF5E18"/>
    <w:rsid w:val="FFF74132"/>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3820</Words>
  <Characters>4544</Characters>
  <Lines>38</Lines>
  <Paragraphs>10</Paragraphs>
  <TotalTime>4</TotalTime>
  <ScaleCrop>false</ScaleCrop>
  <LinksUpToDate>false</LinksUpToDate>
  <CharactersWithSpaces>4615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2021-11-27T02:40:00Z</dcterms:created>
  <dc:creator>牟伶俐</dc:creator>
  <cp:lastModifiedBy>牟伶俐</cp:lastModifiedBy>
  <cp:lastPrinted>2025-08-22T19:07:00Z</cp:lastPrinted>
  <dcterms:modified xsi:type="dcterms:W3CDTF">2025-08-22T18:07:15Z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y fmtid="{D5CDD505-2E9C-101B-9397-08002B2CF9AE}" pid="4" name="KSOTemplateDocerSaveRecord">
    <vt:lpwstr>eyJoZGlkIjoiMzYzODM0YWNiMDM0YjQ5MmI5ZmRjZTI1YTExY2MxNWUiLCJ1c2VySWQiOiI1MzkyNTE0OTEifQ==</vt:lpwstr>
  </property>
</Properties>
</file>