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bookmarkStart w:id="0" w:name="_Toc15306267"/>
    </w:p>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p>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p>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p>
    <w:p>
      <w:pPr>
        <w:pageBreakBefore w:val="0"/>
        <w:kinsoku/>
        <w:wordWrap/>
        <w:overflowPunct/>
        <w:topLinePunct w:val="0"/>
        <w:bidi w:val="0"/>
        <w:adjustRightInd w:val="0"/>
        <w:snapToGrid w:val="0"/>
        <w:spacing w:line="360" w:lineRule="auto"/>
        <w:jc w:val="center"/>
        <w:outlineLvl w:val="0"/>
        <w:rPr>
          <w:rFonts w:hint="eastAsia" w:ascii="方正小标宋简体" w:hAnsi="方正小标宋简体" w:eastAsia="方正小标宋简体" w:cs="方正小标宋简体"/>
          <w:b/>
          <w:bCs/>
          <w:color w:val="000000"/>
          <w:sz w:val="72"/>
          <w:szCs w:val="72"/>
          <w:lang w:eastAsia="zh-CN"/>
        </w:rPr>
      </w:pPr>
      <w:bookmarkStart w:id="1" w:name="_Toc15396597"/>
      <w:bookmarkStart w:id="2" w:name="_Toc15378441"/>
      <w:bookmarkStart w:id="3" w:name="_Toc15396475"/>
      <w:bookmarkStart w:id="4" w:name="_Toc15377425"/>
      <w:bookmarkStart w:id="5" w:name="_Toc15377193"/>
      <w:bookmarkStart w:id="6" w:name="_Toc28380"/>
      <w:bookmarkStart w:id="7" w:name="_Toc3393"/>
      <w:bookmarkStart w:id="8" w:name="_Toc4231"/>
      <w:bookmarkStart w:id="9" w:name="_Toc13722"/>
      <w:bookmarkStart w:id="10" w:name="_Toc2052"/>
      <w:bookmarkStart w:id="11" w:name="_Toc23939"/>
      <w:bookmarkStart w:id="12" w:name="_Toc19623"/>
      <w:bookmarkStart w:id="13" w:name="_Toc24726"/>
      <w:bookmarkStart w:id="14" w:name="_Toc10599"/>
      <w:bookmarkStart w:id="15" w:name="_Toc20864"/>
      <w:bookmarkStart w:id="16" w:name="_Toc15686"/>
      <w:bookmarkStart w:id="17" w:name="_Toc8641"/>
      <w:bookmarkStart w:id="18" w:name="_Toc15302"/>
      <w:r>
        <w:rPr>
          <w:rFonts w:hint="eastAsia" w:ascii="方正小标宋简体" w:hAnsi="方正小标宋简体" w:eastAsia="方正小标宋简体" w:cs="方正小标宋简体"/>
          <w:b/>
          <w:bCs/>
          <w:color w:val="000000"/>
          <w:sz w:val="72"/>
          <w:szCs w:val="72"/>
        </w:rPr>
        <w:t>20</w:t>
      </w:r>
      <w:r>
        <w:rPr>
          <w:rFonts w:hint="eastAsia" w:ascii="方正小标宋简体" w:hAnsi="方正小标宋简体" w:eastAsia="方正小标宋简体" w:cs="方正小标宋简体"/>
          <w:b/>
          <w:bCs/>
          <w:color w:val="000000"/>
          <w:sz w:val="72"/>
          <w:szCs w:val="72"/>
          <w:lang w:val="en-US" w:eastAsia="zh-CN"/>
        </w:rPr>
        <w:t>20</w:t>
      </w:r>
      <w:r>
        <w:rPr>
          <w:rFonts w:hint="eastAsia" w:ascii="方正小标宋简体" w:hAnsi="方正小标宋简体" w:eastAsia="方正小标宋简体" w:cs="方正小标宋简体"/>
          <w:b/>
          <w:bCs/>
          <w:color w:val="000000"/>
          <w:sz w:val="72"/>
          <w:szCs w:val="72"/>
        </w:rPr>
        <w:t>年度</w:t>
      </w:r>
      <w:bookmarkEnd w:id="1"/>
      <w:bookmarkEnd w:id="2"/>
      <w:bookmarkEnd w:id="3"/>
      <w:bookmarkEnd w:id="4"/>
      <w:bookmarkEnd w:id="5"/>
      <w:bookmarkStart w:id="19" w:name="_Toc15377194"/>
      <w:bookmarkStart w:id="20" w:name="_Toc15396476"/>
      <w:bookmarkStart w:id="21" w:name="_Toc15377426"/>
      <w:bookmarkStart w:id="22" w:name="_Toc15378442"/>
      <w:bookmarkStart w:id="23" w:name="_Toc15396598"/>
      <w:r>
        <w:rPr>
          <w:rFonts w:hint="eastAsia" w:ascii="方正小标宋简体" w:hAnsi="方正小标宋简体" w:eastAsia="方正小标宋简体" w:cs="方正小标宋简体"/>
          <w:b/>
          <w:bCs/>
          <w:color w:val="000000"/>
          <w:sz w:val="72"/>
          <w:szCs w:val="72"/>
          <w:lang w:eastAsia="zh-CN"/>
        </w:rPr>
        <w:t>中共</w:t>
      </w:r>
      <w:r>
        <w:rPr>
          <w:rFonts w:hint="eastAsia" w:ascii="方正小标宋简体" w:hAnsi="方正小标宋简体" w:eastAsia="方正小标宋简体" w:cs="方正小标宋简体"/>
          <w:b/>
          <w:bCs/>
          <w:color w:val="000000"/>
          <w:sz w:val="72"/>
          <w:szCs w:val="72"/>
        </w:rPr>
        <w:t>四川省</w:t>
      </w:r>
      <w:bookmarkEnd w:id="0"/>
      <w:bookmarkStart w:id="24" w:name="_Toc15306268"/>
      <w:r>
        <w:rPr>
          <w:rFonts w:hint="eastAsia" w:ascii="方正小标宋简体" w:hAnsi="方正小标宋简体" w:eastAsia="方正小标宋简体" w:cs="方正小标宋简体"/>
          <w:b/>
          <w:bCs/>
          <w:color w:val="000000"/>
          <w:sz w:val="72"/>
          <w:szCs w:val="72"/>
          <w:lang w:eastAsia="zh-CN"/>
        </w:rPr>
        <w:t>委</w:t>
      </w:r>
      <w:bookmarkEnd w:id="6"/>
      <w:bookmarkEnd w:id="7"/>
      <w:bookmarkEnd w:id="8"/>
      <w:bookmarkEnd w:id="9"/>
      <w:bookmarkEnd w:id="10"/>
      <w:bookmarkEnd w:id="11"/>
      <w:bookmarkEnd w:id="12"/>
      <w:bookmarkEnd w:id="13"/>
      <w:bookmarkEnd w:id="14"/>
      <w:bookmarkEnd w:id="15"/>
      <w:bookmarkEnd w:id="16"/>
      <w:bookmarkEnd w:id="17"/>
      <w:bookmarkEnd w:id="18"/>
    </w:p>
    <w:p>
      <w:pPr>
        <w:pageBreakBefore w:val="0"/>
        <w:kinsoku/>
        <w:wordWrap/>
        <w:overflowPunct/>
        <w:topLinePunct w:val="0"/>
        <w:bidi w:val="0"/>
        <w:adjustRightInd w:val="0"/>
        <w:snapToGrid w:val="0"/>
        <w:spacing w:line="360" w:lineRule="auto"/>
        <w:jc w:val="center"/>
        <w:outlineLvl w:val="0"/>
        <w:rPr>
          <w:rFonts w:hint="default" w:ascii="Times New Roman" w:hAnsi="Times New Roman" w:eastAsia="方正小标宋简体" w:cs="Times New Roman"/>
          <w:b/>
          <w:bCs/>
          <w:color w:val="000000"/>
          <w:sz w:val="72"/>
          <w:szCs w:val="72"/>
        </w:rPr>
      </w:pPr>
      <w:bookmarkStart w:id="25" w:name="_Toc28257"/>
      <w:bookmarkStart w:id="26" w:name="_Toc32559"/>
      <w:bookmarkStart w:id="27" w:name="_Toc28511"/>
      <w:bookmarkStart w:id="28" w:name="_Toc585"/>
      <w:bookmarkStart w:id="29" w:name="_Toc1168"/>
      <w:bookmarkStart w:id="30" w:name="_Toc11522"/>
      <w:bookmarkStart w:id="31" w:name="_Toc5019"/>
      <w:bookmarkStart w:id="32" w:name="_Toc9875"/>
      <w:bookmarkStart w:id="33" w:name="_Toc30958"/>
      <w:bookmarkStart w:id="34" w:name="_Toc5414"/>
      <w:bookmarkStart w:id="35" w:name="_Toc20047"/>
      <w:bookmarkStart w:id="36" w:name="_Toc12791"/>
      <w:bookmarkStart w:id="37" w:name="_Toc13135"/>
      <w:r>
        <w:rPr>
          <w:rFonts w:hint="eastAsia" w:ascii="方正小标宋简体" w:hAnsi="方正小标宋简体" w:eastAsia="方正小标宋简体" w:cs="方正小标宋简体"/>
          <w:b/>
          <w:bCs/>
          <w:color w:val="000000"/>
          <w:sz w:val="72"/>
          <w:szCs w:val="72"/>
          <w:lang w:eastAsia="zh-CN"/>
        </w:rPr>
        <w:t>办公厅机关单位</w:t>
      </w:r>
      <w:r>
        <w:rPr>
          <w:rFonts w:hint="eastAsia" w:ascii="方正小标宋简体" w:hAnsi="方正小标宋简体" w:eastAsia="方正小标宋简体" w:cs="方正小标宋简体"/>
          <w:b/>
          <w:bCs/>
          <w:color w:val="000000"/>
          <w:sz w:val="72"/>
          <w:szCs w:val="72"/>
        </w:rPr>
        <w:t>决算</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pPr>
        <w:pageBreakBefore w:val="0"/>
        <w:widowControl/>
        <w:kinsoku/>
        <w:wordWrap/>
        <w:overflowPunct/>
        <w:topLinePunct w:val="0"/>
        <w:bidi w:val="0"/>
        <w:adjustRightInd w:val="0"/>
        <w:snapToGrid w:val="0"/>
        <w:spacing w:line="360" w:lineRule="auto"/>
        <w:jc w:val="center"/>
        <w:rPr>
          <w:rFonts w:hint="default" w:ascii="Times New Roman" w:hAnsi="Times New Roman" w:eastAsia="黑体" w:cs="Times New Roman"/>
          <w:b/>
          <w:bCs/>
          <w:color w:val="000000"/>
          <w:sz w:val="48"/>
          <w:szCs w:val="48"/>
        </w:rPr>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p>
    <w:p>
      <w:pPr>
        <w:keepNext w:val="0"/>
        <w:keepLines w:val="0"/>
        <w:pageBreakBefore w:val="0"/>
        <w:widowControl/>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黑体" w:cs="Times New Roman"/>
          <w:b/>
          <w:bCs/>
          <w:color w:val="000000"/>
          <w:sz w:val="32"/>
          <w:szCs w:val="32"/>
        </w:rPr>
      </w:pPr>
      <w:r>
        <w:rPr>
          <w:rFonts w:hint="default" w:ascii="Times New Roman" w:hAnsi="Times New Roman" w:eastAsia="黑体" w:cs="Times New Roman"/>
          <w:b/>
          <w:bCs/>
          <w:color w:val="000000"/>
          <w:sz w:val="32"/>
          <w:szCs w:val="32"/>
        </w:rPr>
        <w:t>目录</w:t>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仿宋" w:cs="Times New Roman"/>
          <w:bCs/>
          <w:color w:val="000000"/>
          <w:kern w:val="2"/>
          <w:sz w:val="28"/>
          <w:szCs w:val="28"/>
          <w:lang w:val="en-US" w:eastAsia="zh-CN" w:bidi="ar-SA"/>
        </w:rPr>
      </w:pPr>
      <w:r>
        <w:rPr>
          <w:rFonts w:hint="eastAsia" w:ascii="黑体" w:hAnsi="黑体" w:eastAsia="黑体" w:cs="黑体"/>
          <w:b/>
          <w:bCs/>
          <w:sz w:val="24"/>
          <w:szCs w:val="24"/>
        </w:rPr>
        <w:t>公开时间：20</w:t>
      </w:r>
      <w:r>
        <w:rPr>
          <w:rFonts w:hint="eastAsia" w:ascii="黑体" w:hAnsi="黑体" w:eastAsia="黑体" w:cs="黑体"/>
          <w:b/>
          <w:bCs/>
          <w:sz w:val="24"/>
          <w:szCs w:val="24"/>
          <w:lang w:val="en-US" w:eastAsia="zh-CN"/>
        </w:rPr>
        <w:t>21</w:t>
      </w:r>
      <w:r>
        <w:rPr>
          <w:rFonts w:hint="eastAsia" w:ascii="黑体" w:hAnsi="黑体" w:eastAsia="黑体" w:cs="黑体"/>
          <w:b/>
          <w:bCs/>
          <w:sz w:val="24"/>
          <w:szCs w:val="24"/>
        </w:rPr>
        <w:t>年</w:t>
      </w:r>
      <w:r>
        <w:rPr>
          <w:rFonts w:hint="eastAsia" w:ascii="黑体" w:hAnsi="黑体" w:eastAsia="黑体" w:cs="黑体"/>
          <w:b/>
          <w:bCs/>
          <w:sz w:val="24"/>
          <w:szCs w:val="24"/>
          <w:lang w:val="en-US" w:eastAsia="zh-CN"/>
        </w:rPr>
        <w:t>9</w:t>
      </w:r>
      <w:r>
        <w:rPr>
          <w:rFonts w:hint="eastAsia" w:ascii="黑体" w:hAnsi="黑体" w:eastAsia="黑体" w:cs="黑体"/>
          <w:b/>
          <w:bCs/>
          <w:sz w:val="24"/>
          <w:szCs w:val="24"/>
        </w:rPr>
        <w:t>月</w:t>
      </w:r>
      <w:r>
        <w:rPr>
          <w:rFonts w:hint="eastAsia" w:ascii="黑体" w:hAnsi="黑体" w:eastAsia="黑体" w:cs="黑体"/>
          <w:b/>
          <w:bCs/>
          <w:sz w:val="24"/>
          <w:szCs w:val="24"/>
          <w:lang w:val="en-US" w:eastAsia="zh-CN"/>
        </w:rPr>
        <w:t>10</w:t>
      </w:r>
      <w:r>
        <w:rPr>
          <w:rFonts w:hint="eastAsia" w:ascii="黑体" w:hAnsi="黑体" w:eastAsia="黑体" w:cs="黑体"/>
          <w:b/>
          <w:bCs/>
          <w:sz w:val="24"/>
          <w:szCs w:val="24"/>
        </w:rPr>
        <w:t>日</w:t>
      </w:r>
      <w:r>
        <w:rPr>
          <w:rFonts w:hint="default" w:ascii="Times New Roman" w:hAnsi="Times New Roman" w:eastAsia="黑体" w:cs="Times New Roman"/>
          <w:b/>
          <w:bCs/>
          <w:color w:val="000000"/>
          <w:sz w:val="48"/>
          <w:szCs w:val="48"/>
        </w:rPr>
        <w:fldChar w:fldCharType="begin"/>
      </w:r>
      <w:r>
        <w:rPr>
          <w:rFonts w:hint="default" w:ascii="Times New Roman" w:hAnsi="Times New Roman" w:eastAsia="黑体" w:cs="Times New Roman"/>
          <w:b/>
          <w:bCs/>
          <w:color w:val="000000"/>
          <w:sz w:val="48"/>
          <w:szCs w:val="48"/>
        </w:rPr>
        <w:instrText xml:space="preserve"> TOC \o "1-2" \h \z \u </w:instrText>
      </w:r>
      <w:r>
        <w:rPr>
          <w:rFonts w:hint="default" w:ascii="Times New Roman" w:hAnsi="Times New Roman" w:eastAsia="黑体" w:cs="Times New Roman"/>
          <w:b/>
          <w:bCs/>
          <w:color w:val="000000"/>
          <w:sz w:val="48"/>
          <w:szCs w:val="48"/>
        </w:rPr>
        <w:fldChar w:fldCharType="separate"/>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_Toc6665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rPr>
        <w:t xml:space="preserve">第一部分 </w:t>
      </w:r>
      <w:r>
        <w:rPr>
          <w:rFonts w:hint="eastAsia" w:eastAsia="黑体" w:cs="Times New Roman"/>
          <w:bCs/>
          <w:lang w:eastAsia="zh-CN"/>
        </w:rPr>
        <w:t>单位</w:t>
      </w:r>
      <w:r>
        <w:rPr>
          <w:rFonts w:hint="default" w:ascii="Times New Roman" w:hAnsi="Times New Roman" w:eastAsia="黑体" w:cs="Times New Roman"/>
          <w:bCs/>
        </w:rPr>
        <w:t>概况</w:t>
      </w:r>
      <w:r>
        <w:tab/>
      </w:r>
      <w:r>
        <w:fldChar w:fldCharType="begin"/>
      </w:r>
      <w:r>
        <w:instrText xml:space="preserve"> PAGEREF _Toc6665 \h </w:instrText>
      </w:r>
      <w:r>
        <w:fldChar w:fldCharType="separate"/>
      </w:r>
      <w:r>
        <w:t>1</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_Toc1228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rPr>
        <w:t>一、</w:t>
      </w:r>
      <w:r>
        <w:rPr>
          <w:rFonts w:hint="eastAsia" w:ascii="Times New Roman" w:hAnsi="Times New Roman" w:eastAsia="黑体" w:cs="Times New Roman"/>
          <w:bCs/>
          <w:lang w:eastAsia="zh-CN"/>
        </w:rPr>
        <w:t>职能简介</w:t>
      </w:r>
      <w:r>
        <w:tab/>
      </w:r>
      <w:r>
        <w:fldChar w:fldCharType="begin"/>
      </w:r>
      <w:r>
        <w:instrText xml:space="preserve"> PAGEREF _Toc1228 \h </w:instrText>
      </w:r>
      <w:r>
        <w:fldChar w:fldCharType="separate"/>
      </w:r>
      <w:r>
        <w:t>1</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default" w:ascii="Times New Roman" w:hAnsi="Times New Roman" w:eastAsia="仿宋" w:cs="Times New Roman"/>
          <w:bCs/>
          <w:color w:val="000000"/>
        </w:rPr>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_Toc4832 </w:instrText>
      </w:r>
      <w:r>
        <w:rPr>
          <w:rFonts w:hint="default" w:ascii="Times New Roman" w:hAnsi="Times New Roman" w:eastAsia="仿宋" w:cs="Times New Roman"/>
          <w:bCs/>
        </w:rPr>
        <w:fldChar w:fldCharType="separate"/>
      </w:r>
      <w:r>
        <w:rPr>
          <w:rFonts w:hint="eastAsia" w:ascii="黑体" w:hAnsi="黑体" w:eastAsia="黑体" w:cs="黑体"/>
          <w:lang w:eastAsia="zh-CN"/>
        </w:rPr>
        <w:t>二、</w:t>
      </w:r>
      <w:r>
        <w:rPr>
          <w:rFonts w:hint="eastAsia" w:ascii="黑体" w:hAnsi="黑体" w:eastAsia="黑体" w:cs="黑体"/>
        </w:rPr>
        <w:t>20</w:t>
      </w:r>
      <w:r>
        <w:rPr>
          <w:rFonts w:hint="eastAsia" w:ascii="黑体" w:hAnsi="黑体" w:eastAsia="黑体" w:cs="黑体"/>
          <w:lang w:val="en-US" w:eastAsia="zh-CN"/>
        </w:rPr>
        <w:t>20</w:t>
      </w:r>
      <w:r>
        <w:rPr>
          <w:rFonts w:hint="eastAsia" w:ascii="黑体" w:hAnsi="黑体" w:eastAsia="黑体" w:cs="黑体"/>
        </w:rPr>
        <w:t>年重点工作完成情况</w:t>
      </w:r>
      <w:r>
        <w:tab/>
      </w:r>
      <w:r>
        <w:fldChar w:fldCharType="begin"/>
      </w:r>
      <w:r>
        <w:instrText xml:space="preserve"> PAGEREF _Toc4832 \h </w:instrText>
      </w:r>
      <w:r>
        <w:fldChar w:fldCharType="separate"/>
      </w:r>
      <w:r>
        <w:t>2</w:t>
      </w:r>
      <w:r>
        <w:fldChar w:fldCharType="end"/>
      </w:r>
      <w:r>
        <w:rPr>
          <w:rFonts w:hint="default" w:ascii="Times New Roman" w:hAnsi="Times New Roman" w:eastAsia="仿宋" w:cs="Times New Roman"/>
          <w:bCs/>
          <w:color w:val="000000"/>
        </w:rPr>
        <w:fldChar w:fldCharType="end"/>
      </w:r>
    </w:p>
    <w:p>
      <w:pPr>
        <w:ind w:firstLine="420" w:firstLineChars="200"/>
        <w:rPr>
          <w:rFonts w:hint="default"/>
          <w:lang w:val="en-US"/>
        </w:rPr>
      </w:pPr>
      <w:r>
        <w:rPr>
          <w:rFonts w:hint="eastAsia" w:ascii="黑体" w:hAnsi="黑体" w:eastAsia="黑体" w:cs="黑体"/>
          <w:lang w:val="en-US" w:eastAsia="zh-CN"/>
        </w:rPr>
        <w:t>三、机构设置情况..........................................................3</w:t>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_Toc15357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rPr>
        <w:t xml:space="preserve">第二部分 </w:t>
      </w:r>
      <w:r>
        <w:rPr>
          <w:rFonts w:hint="eastAsia" w:ascii="黑体" w:hAnsi="黑体" w:eastAsia="黑体" w:cs="黑体"/>
          <w:bCs/>
        </w:rPr>
        <w:t>20</w:t>
      </w:r>
      <w:r>
        <w:rPr>
          <w:rFonts w:hint="eastAsia" w:ascii="黑体" w:hAnsi="黑体" w:eastAsia="黑体" w:cs="黑体"/>
          <w:bCs/>
          <w:lang w:val="en-US" w:eastAsia="zh-CN"/>
        </w:rPr>
        <w:t>20</w:t>
      </w:r>
      <w:r>
        <w:rPr>
          <w:rFonts w:hint="default" w:ascii="Times New Roman" w:hAnsi="Times New Roman" w:eastAsia="黑体" w:cs="Times New Roman"/>
          <w:bCs/>
        </w:rPr>
        <w:t>年度</w:t>
      </w:r>
      <w:r>
        <w:rPr>
          <w:rFonts w:hint="eastAsia" w:eastAsia="黑体" w:cs="Times New Roman"/>
          <w:bCs/>
          <w:lang w:eastAsia="zh-CN"/>
        </w:rPr>
        <w:t>单位</w:t>
      </w:r>
      <w:r>
        <w:rPr>
          <w:rFonts w:hint="default" w:ascii="Times New Roman" w:hAnsi="Times New Roman" w:eastAsia="黑体" w:cs="Times New Roman"/>
          <w:bCs/>
        </w:rPr>
        <w:t>决算情况说明</w:t>
      </w:r>
      <w:r>
        <w:tab/>
      </w:r>
      <w:r>
        <w:fldChar w:fldCharType="begin"/>
      </w:r>
      <w:r>
        <w:instrText xml:space="preserve"> PAGEREF _Toc15357 \h </w:instrText>
      </w:r>
      <w:r>
        <w:fldChar w:fldCharType="separate"/>
      </w:r>
      <w:r>
        <w:t>4</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_Toc19275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rPr>
        <w:t>一、</w:t>
      </w:r>
      <w:r>
        <w:rPr>
          <w:rFonts w:hint="default" w:ascii="Times New Roman" w:hAnsi="Times New Roman" w:eastAsia="黑体" w:cs="Times New Roman"/>
          <w:bCs/>
          <w:szCs w:val="32"/>
        </w:rPr>
        <w:t>收</w:t>
      </w:r>
      <w:r>
        <w:rPr>
          <w:rFonts w:hint="default" w:ascii="Times New Roman" w:hAnsi="Times New Roman" w:eastAsia="黑体" w:cs="Times New Roman"/>
          <w:bCs/>
        </w:rPr>
        <w:t>入支出决算总体情况说明</w:t>
      </w:r>
      <w:r>
        <w:tab/>
      </w:r>
      <w:r>
        <w:fldChar w:fldCharType="begin"/>
      </w:r>
      <w:r>
        <w:instrText xml:space="preserve"> PAGEREF _Toc19275 \h </w:instrText>
      </w:r>
      <w:r>
        <w:fldChar w:fldCharType="separate"/>
      </w:r>
      <w:r>
        <w:t>4</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_Toc12133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rPr>
        <w:t>二、</w:t>
      </w:r>
      <w:r>
        <w:rPr>
          <w:rFonts w:hint="default" w:ascii="Times New Roman" w:hAnsi="Times New Roman" w:eastAsia="黑体" w:cs="Times New Roman"/>
          <w:bCs/>
          <w:szCs w:val="32"/>
        </w:rPr>
        <w:t>收</w:t>
      </w:r>
      <w:r>
        <w:rPr>
          <w:rFonts w:hint="default" w:ascii="Times New Roman" w:hAnsi="Times New Roman" w:eastAsia="黑体" w:cs="Times New Roman"/>
          <w:bCs/>
        </w:rPr>
        <w:t>入决算情况说明</w:t>
      </w:r>
      <w:r>
        <w:tab/>
      </w:r>
      <w:r>
        <w:fldChar w:fldCharType="begin"/>
      </w:r>
      <w:r>
        <w:instrText xml:space="preserve"> PAGEREF _Toc12133 \h </w:instrText>
      </w:r>
      <w:r>
        <w:fldChar w:fldCharType="separate"/>
      </w:r>
      <w:r>
        <w:t>4</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_Toc30520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rPr>
        <w:t>三、</w:t>
      </w:r>
      <w:r>
        <w:rPr>
          <w:rFonts w:hint="default" w:ascii="Times New Roman" w:hAnsi="Times New Roman" w:eastAsia="黑体" w:cs="Times New Roman"/>
          <w:bCs/>
          <w:szCs w:val="32"/>
        </w:rPr>
        <w:t>支</w:t>
      </w:r>
      <w:r>
        <w:rPr>
          <w:rFonts w:hint="default" w:ascii="Times New Roman" w:hAnsi="Times New Roman" w:eastAsia="黑体" w:cs="Times New Roman"/>
          <w:bCs/>
        </w:rPr>
        <w:t>出决算情况说明</w:t>
      </w:r>
      <w:r>
        <w:tab/>
      </w:r>
      <w:r>
        <w:fldChar w:fldCharType="begin"/>
      </w:r>
      <w:r>
        <w:instrText xml:space="preserve"> PAGEREF _Toc30520 \h </w:instrText>
      </w:r>
      <w:r>
        <w:fldChar w:fldCharType="separate"/>
      </w:r>
      <w:r>
        <w:t>5</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_Toc1225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szCs w:val="32"/>
        </w:rPr>
        <w:t>四、财</w:t>
      </w:r>
      <w:r>
        <w:rPr>
          <w:rFonts w:hint="default" w:ascii="Times New Roman" w:hAnsi="Times New Roman" w:eastAsia="黑体" w:cs="Times New Roman"/>
          <w:bCs/>
        </w:rPr>
        <w:t>政拨款收入支出决算总体情况说明</w:t>
      </w:r>
      <w:r>
        <w:tab/>
      </w:r>
      <w:r>
        <w:fldChar w:fldCharType="begin"/>
      </w:r>
      <w:r>
        <w:instrText xml:space="preserve"> PAGEREF _Toc1225 \h </w:instrText>
      </w:r>
      <w:r>
        <w:fldChar w:fldCharType="separate"/>
      </w:r>
      <w:r>
        <w:t>6</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_Toc10406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szCs w:val="32"/>
        </w:rPr>
        <w:t>五、一</w:t>
      </w:r>
      <w:r>
        <w:rPr>
          <w:rFonts w:hint="default" w:ascii="Times New Roman" w:hAnsi="Times New Roman" w:eastAsia="黑体" w:cs="Times New Roman"/>
          <w:bCs/>
        </w:rPr>
        <w:t>般公共预算财政拨款支出决算情况说明</w:t>
      </w:r>
      <w:r>
        <w:tab/>
      </w:r>
      <w:r>
        <w:fldChar w:fldCharType="begin"/>
      </w:r>
      <w:r>
        <w:instrText xml:space="preserve"> PAGEREF _Toc10406 \h </w:instrText>
      </w:r>
      <w:r>
        <w:fldChar w:fldCharType="separate"/>
      </w:r>
      <w:r>
        <w:t>6</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_Toc9299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szCs w:val="32"/>
        </w:rPr>
        <w:t>六、一</w:t>
      </w:r>
      <w:r>
        <w:rPr>
          <w:rFonts w:hint="default" w:ascii="Times New Roman" w:hAnsi="Times New Roman" w:eastAsia="黑体" w:cs="Times New Roman"/>
          <w:bCs/>
        </w:rPr>
        <w:t>般公共预算财政拨款基本支出决算情况说明</w:t>
      </w:r>
      <w:r>
        <w:tab/>
      </w:r>
      <w:r>
        <w:fldChar w:fldCharType="begin"/>
      </w:r>
      <w:r>
        <w:instrText xml:space="preserve"> PAGEREF _Toc9299 \h </w:instrText>
      </w:r>
      <w:r>
        <w:fldChar w:fldCharType="separate"/>
      </w:r>
      <w:r>
        <w:t>10</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_Toc21678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szCs w:val="32"/>
        </w:rPr>
        <w:t>七、</w:t>
      </w:r>
      <w:r>
        <w:rPr>
          <w:rFonts w:hint="default" w:ascii="Times New Roman" w:hAnsi="Times New Roman" w:eastAsia="黑体" w:cs="Times New Roman"/>
          <w:bCs/>
        </w:rPr>
        <w:t>“三公”经费财政拨款支出决算情况说明</w:t>
      </w:r>
      <w:r>
        <w:tab/>
      </w:r>
      <w:r>
        <w:fldChar w:fldCharType="begin"/>
      </w:r>
      <w:r>
        <w:instrText xml:space="preserve"> PAGEREF _Toc21678 \h </w:instrText>
      </w:r>
      <w:r>
        <w:fldChar w:fldCharType="separate"/>
      </w:r>
      <w:r>
        <w:t>11</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_Toc3560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szCs w:val="32"/>
        </w:rPr>
        <w:t>八、</w:t>
      </w:r>
      <w:r>
        <w:rPr>
          <w:rFonts w:hint="default" w:ascii="Times New Roman" w:hAnsi="Times New Roman" w:eastAsia="黑体" w:cs="Times New Roman"/>
          <w:bCs/>
        </w:rPr>
        <w:t>政府性基金预算支出决算情况说明</w:t>
      </w:r>
      <w:r>
        <w:tab/>
      </w:r>
      <w:r>
        <w:fldChar w:fldCharType="begin"/>
      </w:r>
      <w:r>
        <w:instrText xml:space="preserve"> PAGEREF _Toc3560 \h </w:instrText>
      </w:r>
      <w:r>
        <w:fldChar w:fldCharType="separate"/>
      </w:r>
      <w:r>
        <w:t>13</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_Toc9743 </w:instrText>
      </w:r>
      <w:r>
        <w:rPr>
          <w:rFonts w:hint="default" w:ascii="Times New Roman" w:hAnsi="Times New Roman" w:eastAsia="仿宋" w:cs="Times New Roman"/>
          <w:bCs/>
        </w:rPr>
        <w:fldChar w:fldCharType="separate"/>
      </w:r>
      <w:r>
        <w:rPr>
          <w:rFonts w:hint="eastAsia" w:ascii="Times New Roman" w:hAnsi="Times New Roman" w:eastAsia="黑体" w:cs="Times New Roman"/>
          <w:bCs/>
        </w:rPr>
        <w:t>九、</w:t>
      </w:r>
      <w:r>
        <w:rPr>
          <w:rFonts w:hint="default" w:ascii="Times New Roman" w:hAnsi="Times New Roman" w:eastAsia="黑体" w:cs="Times New Roman"/>
          <w:bCs/>
        </w:rPr>
        <w:t>国有资本经营预算支出决算情况说明</w:t>
      </w:r>
      <w:r>
        <w:tab/>
      </w:r>
      <w:r>
        <w:fldChar w:fldCharType="begin"/>
      </w:r>
      <w:r>
        <w:instrText xml:space="preserve"> PAGEREF _Toc9743 \h </w:instrText>
      </w:r>
      <w:r>
        <w:fldChar w:fldCharType="separate"/>
      </w:r>
      <w:r>
        <w:t>13</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_Toc27146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rPr>
        <w:t>十、</w:t>
      </w:r>
      <w:r>
        <w:rPr>
          <w:rFonts w:hint="eastAsia" w:ascii="黑体" w:hAnsi="黑体" w:eastAsia="黑体"/>
          <w:bCs w:val="0"/>
        </w:rPr>
        <w:t>其他重要事项的情况</w:t>
      </w:r>
      <w:r>
        <w:rPr>
          <w:rFonts w:hint="default" w:ascii="Times New Roman" w:hAnsi="Times New Roman" w:eastAsia="黑体" w:cs="Times New Roman"/>
          <w:bCs/>
        </w:rPr>
        <w:t>说明</w:t>
      </w:r>
      <w:r>
        <w:tab/>
      </w:r>
      <w:r>
        <w:fldChar w:fldCharType="begin"/>
      </w:r>
      <w:r>
        <w:instrText xml:space="preserve"> PAGEREF _Toc27146 \h </w:instrText>
      </w:r>
      <w:r>
        <w:fldChar w:fldCharType="separate"/>
      </w:r>
      <w:r>
        <w:t>13</w:t>
      </w:r>
      <w:r>
        <w:fldChar w:fldCharType="end"/>
      </w:r>
      <w:r>
        <w:rPr>
          <w:rFonts w:hint="default" w:ascii="Times New Roman" w:hAnsi="Times New Roman" w:eastAsia="仿宋" w:cs="Times New Roman"/>
          <w:bCs/>
          <w:color w:val="000000"/>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_Toc12535 </w:instrText>
      </w:r>
      <w:r>
        <w:rPr>
          <w:rFonts w:hint="default" w:ascii="Times New Roman" w:hAnsi="Times New Roman" w:eastAsia="仿宋" w:cs="Times New Roman"/>
          <w:bCs/>
        </w:rPr>
        <w:fldChar w:fldCharType="separate"/>
      </w:r>
      <w:r>
        <w:rPr>
          <w:rFonts w:hint="eastAsia" w:ascii="黑体" w:hAnsi="黑体" w:eastAsia="黑体" w:cs="黑体"/>
          <w:bCs/>
          <w:szCs w:val="44"/>
        </w:rPr>
        <w:t>第三部分 名</w:t>
      </w:r>
      <w:r>
        <w:rPr>
          <w:rFonts w:hint="eastAsia" w:ascii="黑体" w:hAnsi="黑体" w:eastAsia="黑体" w:cs="黑体"/>
          <w:bCs/>
        </w:rPr>
        <w:t>词解释</w:t>
      </w:r>
      <w:r>
        <w:tab/>
      </w:r>
      <w:r>
        <w:fldChar w:fldCharType="begin"/>
      </w:r>
      <w:r>
        <w:instrText xml:space="preserve"> PAGEREF _Toc12535 \h </w:instrText>
      </w:r>
      <w:r>
        <w:fldChar w:fldCharType="separate"/>
      </w:r>
      <w:r>
        <w:t>21</w:t>
      </w:r>
      <w:r>
        <w:fldChar w:fldCharType="end"/>
      </w:r>
      <w:r>
        <w:rPr>
          <w:rFonts w:hint="default" w:ascii="Times New Roman" w:hAnsi="Times New Roman" w:eastAsia="仿宋" w:cs="Times New Roman"/>
          <w:bCs/>
          <w:color w:val="000000"/>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_Toc15108 </w:instrText>
      </w:r>
      <w:r>
        <w:rPr>
          <w:rFonts w:hint="default" w:ascii="Times New Roman" w:hAnsi="Times New Roman" w:eastAsia="仿宋" w:cs="Times New Roman"/>
          <w:bCs/>
        </w:rPr>
        <w:fldChar w:fldCharType="separate"/>
      </w:r>
      <w:r>
        <w:rPr>
          <w:rFonts w:hint="eastAsia" w:ascii="Times New Roman" w:hAnsi="Times New Roman" w:eastAsia="黑体" w:cs="Times New Roman"/>
          <w:bCs/>
        </w:rPr>
        <w:t xml:space="preserve">第四部分 </w:t>
      </w:r>
      <w:r>
        <w:rPr>
          <w:rFonts w:hint="eastAsia" w:eastAsia="黑体" w:cs="Times New Roman"/>
          <w:bCs/>
          <w:lang w:eastAsia="zh-CN"/>
        </w:rPr>
        <w:t>附件</w:t>
      </w:r>
      <w:r>
        <w:tab/>
      </w:r>
      <w:r>
        <w:fldChar w:fldCharType="begin"/>
      </w:r>
      <w:r>
        <w:instrText xml:space="preserve"> PAGEREF _Toc15108 \h </w:instrText>
      </w:r>
      <w:r>
        <w:fldChar w:fldCharType="separate"/>
      </w:r>
      <w:r>
        <w:t>24</w:t>
      </w:r>
      <w:r>
        <w:fldChar w:fldCharType="end"/>
      </w:r>
      <w:r>
        <w:rPr>
          <w:rFonts w:hint="default" w:ascii="Times New Roman" w:hAnsi="Times New Roman" w:eastAsia="仿宋" w:cs="Times New Roman"/>
          <w:bCs/>
          <w:color w:val="000000"/>
        </w:rPr>
        <w:fldChar w:fldCharType="end"/>
      </w:r>
    </w:p>
    <w:p>
      <w:pPr>
        <w:pStyle w:val="10"/>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pPr>
      <w:r>
        <w:rPr>
          <w:rFonts w:hint="default" w:ascii="Times New Roman" w:hAnsi="Times New Roman" w:eastAsia="仿宋" w:cs="Times New Roman"/>
          <w:bCs/>
          <w:color w:val="000000"/>
        </w:rPr>
        <w:fldChar w:fldCharType="begin"/>
      </w:r>
      <w:r>
        <w:rPr>
          <w:rFonts w:hint="default" w:ascii="Times New Roman" w:hAnsi="Times New Roman" w:eastAsia="仿宋" w:cs="Times New Roman"/>
          <w:bCs/>
        </w:rPr>
        <w:instrText xml:space="preserve"> HYPERLINK \l _Toc30766 </w:instrText>
      </w:r>
      <w:r>
        <w:rPr>
          <w:rFonts w:hint="default" w:ascii="Times New Roman" w:hAnsi="Times New Roman" w:eastAsia="仿宋" w:cs="Times New Roman"/>
          <w:bCs/>
        </w:rPr>
        <w:fldChar w:fldCharType="separate"/>
      </w:r>
      <w:r>
        <w:rPr>
          <w:rFonts w:hint="default" w:ascii="Times New Roman" w:hAnsi="Times New Roman" w:eastAsia="黑体" w:cs="Times New Roman"/>
          <w:bCs/>
          <w:szCs w:val="44"/>
        </w:rPr>
        <w:t>第</w:t>
      </w:r>
      <w:r>
        <w:rPr>
          <w:rFonts w:hint="default" w:ascii="Times New Roman" w:hAnsi="Times New Roman" w:eastAsia="黑体" w:cs="Times New Roman"/>
          <w:bCs/>
        </w:rPr>
        <w:t>五部分 附表</w:t>
      </w:r>
      <w:r>
        <w:tab/>
      </w:r>
      <w:r>
        <w:fldChar w:fldCharType="begin"/>
      </w:r>
      <w:r>
        <w:instrText xml:space="preserve"> PAGEREF _Toc30766 \h </w:instrText>
      </w:r>
      <w:r>
        <w:fldChar w:fldCharType="separate"/>
      </w:r>
      <w:r>
        <w:t>51</w:t>
      </w:r>
      <w:r>
        <w:fldChar w:fldCharType="end"/>
      </w:r>
      <w:r>
        <w:rPr>
          <w:rFonts w:hint="default" w:ascii="Times New Roman" w:hAnsi="Times New Roman" w:eastAsia="仿宋" w:cs="Times New Roman"/>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_Toc4919 </w:instrText>
      </w:r>
      <w:r>
        <w:rPr>
          <w:rFonts w:hint="eastAsia" w:ascii="黑体" w:hAnsi="黑体" w:eastAsia="黑体" w:cs="黑体"/>
          <w:bCs/>
        </w:rPr>
        <w:fldChar w:fldCharType="separate"/>
      </w:r>
      <w:r>
        <w:rPr>
          <w:rFonts w:hint="eastAsia" w:ascii="黑体" w:hAnsi="黑体" w:eastAsia="黑体" w:cs="黑体"/>
          <w:bCs/>
        </w:rPr>
        <w:t>一、收入支出决算总表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_Toc4919 \h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_Toc27781 </w:instrText>
      </w:r>
      <w:r>
        <w:rPr>
          <w:rFonts w:hint="eastAsia" w:ascii="黑体" w:hAnsi="黑体" w:eastAsia="黑体" w:cs="黑体"/>
          <w:bCs/>
        </w:rPr>
        <w:fldChar w:fldCharType="separate"/>
      </w:r>
      <w:r>
        <w:rPr>
          <w:rFonts w:hint="eastAsia" w:ascii="黑体" w:hAnsi="黑体" w:eastAsia="黑体" w:cs="黑体"/>
          <w:bCs/>
        </w:rPr>
        <w:t>二、收入</w:t>
      </w:r>
      <w:r>
        <w:rPr>
          <w:rFonts w:hint="eastAsia" w:ascii="黑体" w:hAnsi="黑体" w:eastAsia="黑体" w:cs="黑体"/>
          <w:bCs/>
          <w:lang w:eastAsia="zh-CN"/>
        </w:rPr>
        <w:t>决算</w:t>
      </w:r>
      <w:r>
        <w:rPr>
          <w:rFonts w:hint="eastAsia" w:ascii="黑体" w:hAnsi="黑体" w:eastAsia="黑体" w:cs="黑体"/>
          <w:bCs/>
        </w:rPr>
        <w:t>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_Toc27781 \h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lang w:val="en-US" w:eastAsia="zh-CN"/>
        </w:rPr>
        <w:t>3</w:t>
      </w:r>
      <w:r>
        <w:rPr>
          <w:rFonts w:hint="eastAsia" w:ascii="黑体" w:hAnsi="黑体" w:eastAsia="黑体" w:cs="黑体"/>
        </w:rPr>
        <w:fldChar w:fldCharType="end"/>
      </w:r>
      <w:r>
        <w:rPr>
          <w:rFonts w:hint="eastAsia" w:ascii="黑体" w:hAnsi="黑体" w:eastAsia="黑体" w:cs="黑体"/>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_Toc25105 </w:instrText>
      </w:r>
      <w:r>
        <w:rPr>
          <w:rFonts w:hint="eastAsia" w:ascii="黑体" w:hAnsi="黑体" w:eastAsia="黑体" w:cs="黑体"/>
          <w:bCs/>
        </w:rPr>
        <w:fldChar w:fldCharType="separate"/>
      </w:r>
      <w:r>
        <w:rPr>
          <w:rFonts w:hint="eastAsia" w:ascii="黑体" w:hAnsi="黑体" w:eastAsia="黑体" w:cs="黑体"/>
          <w:bCs/>
        </w:rPr>
        <w:t>三、支出</w:t>
      </w:r>
      <w:r>
        <w:rPr>
          <w:rFonts w:hint="eastAsia" w:ascii="黑体" w:hAnsi="黑体" w:eastAsia="黑体" w:cs="黑体"/>
          <w:bCs/>
          <w:lang w:eastAsia="zh-CN"/>
        </w:rPr>
        <w:t>决算</w:t>
      </w:r>
      <w:r>
        <w:rPr>
          <w:rFonts w:hint="eastAsia" w:ascii="黑体" w:hAnsi="黑体" w:eastAsia="黑体" w:cs="黑体"/>
          <w:bCs/>
        </w:rPr>
        <w:t>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_Toc25105 \h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lang w:val="en-US" w:eastAsia="zh-CN"/>
        </w:rPr>
        <w:t>4</w:t>
      </w:r>
      <w:r>
        <w:rPr>
          <w:rFonts w:hint="eastAsia" w:ascii="黑体" w:hAnsi="黑体" w:eastAsia="黑体" w:cs="黑体"/>
        </w:rPr>
        <w:fldChar w:fldCharType="end"/>
      </w:r>
      <w:r>
        <w:rPr>
          <w:rFonts w:hint="eastAsia" w:ascii="黑体" w:hAnsi="黑体" w:eastAsia="黑体" w:cs="黑体"/>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_Toc15095 </w:instrText>
      </w:r>
      <w:r>
        <w:rPr>
          <w:rFonts w:hint="eastAsia" w:ascii="黑体" w:hAnsi="黑体" w:eastAsia="黑体" w:cs="黑体"/>
          <w:bCs/>
        </w:rPr>
        <w:fldChar w:fldCharType="separate"/>
      </w:r>
      <w:r>
        <w:rPr>
          <w:rFonts w:hint="eastAsia" w:ascii="黑体" w:hAnsi="黑体" w:eastAsia="黑体" w:cs="黑体"/>
          <w:bCs/>
        </w:rPr>
        <w:t>四、财政拨款收入支出决算总表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_Toc15095 \h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lang w:val="en-US" w:eastAsia="zh-CN"/>
        </w:rPr>
        <w:t>5</w:t>
      </w:r>
      <w:r>
        <w:rPr>
          <w:rFonts w:hint="eastAsia" w:ascii="黑体" w:hAnsi="黑体" w:eastAsia="黑体" w:cs="黑体"/>
        </w:rPr>
        <w:fldChar w:fldCharType="end"/>
      </w:r>
      <w:r>
        <w:rPr>
          <w:rFonts w:hint="eastAsia" w:ascii="黑体" w:hAnsi="黑体" w:eastAsia="黑体" w:cs="黑体"/>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_Toc2513 </w:instrText>
      </w:r>
      <w:r>
        <w:rPr>
          <w:rFonts w:hint="eastAsia" w:ascii="黑体" w:hAnsi="黑体" w:eastAsia="黑体" w:cs="黑体"/>
          <w:bCs/>
        </w:rPr>
        <w:fldChar w:fldCharType="separate"/>
      </w:r>
      <w:r>
        <w:rPr>
          <w:rFonts w:hint="eastAsia" w:ascii="黑体" w:hAnsi="黑体" w:eastAsia="黑体" w:cs="黑体"/>
          <w:bCs/>
        </w:rPr>
        <w:t>五、财政拨款支出决算明细表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_Toc2513 \h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lang w:val="en-US" w:eastAsia="zh-CN"/>
        </w:rPr>
        <w:t>6</w:t>
      </w:r>
      <w:r>
        <w:rPr>
          <w:rFonts w:hint="eastAsia" w:ascii="黑体" w:hAnsi="黑体" w:eastAsia="黑体" w:cs="黑体"/>
        </w:rPr>
        <w:fldChar w:fldCharType="end"/>
      </w:r>
      <w:r>
        <w:rPr>
          <w:rFonts w:hint="eastAsia" w:ascii="黑体" w:hAnsi="黑体" w:eastAsia="黑体" w:cs="黑体"/>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_Toc15887 </w:instrText>
      </w:r>
      <w:r>
        <w:rPr>
          <w:rFonts w:hint="eastAsia" w:ascii="黑体" w:hAnsi="黑体" w:eastAsia="黑体" w:cs="黑体"/>
          <w:bCs/>
        </w:rPr>
        <w:fldChar w:fldCharType="separate"/>
      </w:r>
      <w:r>
        <w:rPr>
          <w:rFonts w:hint="eastAsia" w:ascii="黑体" w:hAnsi="黑体" w:eastAsia="黑体" w:cs="黑体"/>
          <w:bCs/>
        </w:rPr>
        <w:t>六、一般公共预算财政拨款支出决算表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_Toc15887 \h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lang w:val="en-US" w:eastAsia="zh-CN"/>
        </w:rPr>
        <w:t>7</w:t>
      </w:r>
      <w:r>
        <w:rPr>
          <w:rFonts w:hint="eastAsia" w:ascii="黑体" w:hAnsi="黑体" w:eastAsia="黑体" w:cs="黑体"/>
        </w:rPr>
        <w:fldChar w:fldCharType="end"/>
      </w:r>
      <w:r>
        <w:rPr>
          <w:rFonts w:hint="eastAsia" w:ascii="黑体" w:hAnsi="黑体" w:eastAsia="黑体" w:cs="黑体"/>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_Toc30375 </w:instrText>
      </w:r>
      <w:r>
        <w:rPr>
          <w:rFonts w:hint="eastAsia" w:ascii="黑体" w:hAnsi="黑体" w:eastAsia="黑体" w:cs="黑体"/>
          <w:bCs/>
        </w:rPr>
        <w:fldChar w:fldCharType="separate"/>
      </w:r>
      <w:r>
        <w:rPr>
          <w:rFonts w:hint="eastAsia" w:ascii="黑体" w:hAnsi="黑体" w:eastAsia="黑体" w:cs="黑体"/>
          <w:bCs/>
        </w:rPr>
        <w:t>七、一般公共预算财政拨款支出决算明细表</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_Toc30375 \h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lang w:val="en-US" w:eastAsia="zh-CN"/>
        </w:rPr>
        <w:t>8</w:t>
      </w:r>
      <w:r>
        <w:rPr>
          <w:rFonts w:hint="eastAsia" w:ascii="黑体" w:hAnsi="黑体" w:eastAsia="黑体" w:cs="黑体"/>
        </w:rPr>
        <w:fldChar w:fldCharType="end"/>
      </w:r>
      <w:r>
        <w:rPr>
          <w:rFonts w:hint="eastAsia" w:ascii="黑体" w:hAnsi="黑体" w:eastAsia="黑体" w:cs="黑体"/>
          <w:bCs/>
          <w:color w:val="000000"/>
        </w:rPr>
        <w:fldChar w:fldCharType="end"/>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lang w:val="en-US" w:eastAsia="zh-CN"/>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_Toc26074 </w:instrText>
      </w:r>
      <w:r>
        <w:rPr>
          <w:rFonts w:hint="eastAsia" w:ascii="黑体" w:hAnsi="黑体" w:eastAsia="黑体" w:cs="黑体"/>
          <w:bCs/>
        </w:rPr>
        <w:fldChar w:fldCharType="separate"/>
      </w:r>
      <w:r>
        <w:rPr>
          <w:rFonts w:hint="eastAsia" w:ascii="黑体" w:hAnsi="黑体" w:eastAsia="黑体" w:cs="黑体"/>
          <w:bCs/>
        </w:rPr>
        <w:t>八、一般公共预算财政拨款基本支出决算表</w:t>
      </w:r>
      <w:r>
        <w:rPr>
          <w:rFonts w:hint="eastAsia" w:ascii="黑体" w:hAnsi="黑体" w:eastAsia="黑体" w:cs="黑体"/>
        </w:rPr>
        <w:tab/>
      </w:r>
      <w:r>
        <w:rPr>
          <w:rFonts w:hint="eastAsia" w:ascii="黑体" w:hAnsi="黑体" w:eastAsia="黑体" w:cs="黑体"/>
          <w:lang w:val="en-US" w:eastAsia="zh-CN"/>
        </w:rPr>
        <w:t>5</w:t>
      </w:r>
      <w:r>
        <w:rPr>
          <w:rFonts w:hint="eastAsia" w:ascii="黑体" w:hAnsi="黑体" w:eastAsia="黑体" w:cs="黑体"/>
          <w:bCs/>
          <w:color w:val="000000"/>
        </w:rPr>
        <w:fldChar w:fldCharType="end"/>
      </w:r>
      <w:r>
        <w:rPr>
          <w:rFonts w:hint="eastAsia" w:ascii="黑体" w:hAnsi="黑体" w:eastAsia="黑体" w:cs="黑体"/>
          <w:bCs/>
          <w:color w:val="000000"/>
          <w:lang w:val="en-US" w:eastAsia="zh-CN"/>
        </w:rPr>
        <w:t>9</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lang w:val="en-US" w:eastAsia="zh-CN"/>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_Toc17021 </w:instrText>
      </w:r>
      <w:r>
        <w:rPr>
          <w:rFonts w:hint="eastAsia" w:ascii="黑体" w:hAnsi="黑体" w:eastAsia="黑体" w:cs="黑体"/>
          <w:bCs/>
        </w:rPr>
        <w:fldChar w:fldCharType="separate"/>
      </w:r>
      <w:r>
        <w:rPr>
          <w:rFonts w:hint="eastAsia" w:ascii="黑体" w:hAnsi="黑体" w:eastAsia="黑体" w:cs="黑体"/>
          <w:bCs/>
        </w:rPr>
        <w:t>九、一般公共预算财政拨款项目支出决算表</w:t>
      </w:r>
      <w:r>
        <w:rPr>
          <w:rFonts w:hint="eastAsia" w:ascii="黑体" w:hAnsi="黑体" w:eastAsia="黑体" w:cs="黑体"/>
        </w:rPr>
        <w:tab/>
      </w:r>
      <w:r>
        <w:rPr>
          <w:rFonts w:hint="eastAsia" w:ascii="黑体" w:hAnsi="黑体" w:eastAsia="黑体" w:cs="黑体"/>
          <w:lang w:val="en-US" w:eastAsia="zh-CN"/>
        </w:rPr>
        <w:t>6</w:t>
      </w:r>
      <w:r>
        <w:rPr>
          <w:rFonts w:hint="eastAsia" w:ascii="黑体" w:hAnsi="黑体" w:eastAsia="黑体" w:cs="黑体"/>
          <w:bCs/>
          <w:color w:val="000000"/>
        </w:rPr>
        <w:fldChar w:fldCharType="end"/>
      </w:r>
      <w:r>
        <w:rPr>
          <w:rFonts w:hint="eastAsia" w:ascii="黑体" w:hAnsi="黑体" w:eastAsia="黑体" w:cs="黑体"/>
          <w:bCs/>
          <w:color w:val="000000"/>
          <w:lang w:val="en-US" w:eastAsia="zh-CN"/>
        </w:rPr>
        <w:t>0</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lang w:val="en-US" w:eastAsia="zh-CN"/>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_Toc3659 </w:instrText>
      </w:r>
      <w:r>
        <w:rPr>
          <w:rFonts w:hint="eastAsia" w:ascii="黑体" w:hAnsi="黑体" w:eastAsia="黑体" w:cs="黑体"/>
          <w:bCs/>
        </w:rPr>
        <w:fldChar w:fldCharType="separate"/>
      </w:r>
      <w:r>
        <w:rPr>
          <w:rFonts w:hint="eastAsia" w:ascii="黑体" w:hAnsi="黑体" w:eastAsia="黑体" w:cs="黑体"/>
          <w:bCs/>
        </w:rPr>
        <w:t>十、一般公共预算财政拨款“三公”经费支出决算表</w:t>
      </w:r>
      <w:r>
        <w:rPr>
          <w:rFonts w:hint="eastAsia" w:ascii="黑体" w:hAnsi="黑体" w:eastAsia="黑体" w:cs="黑体"/>
        </w:rPr>
        <w:tab/>
      </w:r>
      <w:r>
        <w:rPr>
          <w:rFonts w:hint="eastAsia" w:ascii="黑体" w:hAnsi="黑体" w:eastAsia="黑体" w:cs="黑体"/>
          <w:lang w:val="en-US" w:eastAsia="zh-CN"/>
        </w:rPr>
        <w:t>6</w:t>
      </w:r>
      <w:r>
        <w:rPr>
          <w:rFonts w:hint="eastAsia" w:ascii="黑体" w:hAnsi="黑体" w:eastAsia="黑体" w:cs="黑体"/>
          <w:bCs/>
          <w:color w:val="000000"/>
        </w:rPr>
        <w:fldChar w:fldCharType="end"/>
      </w:r>
      <w:r>
        <w:rPr>
          <w:rFonts w:hint="eastAsia" w:ascii="黑体" w:hAnsi="黑体" w:eastAsia="黑体" w:cs="黑体"/>
          <w:bCs/>
          <w:color w:val="000000"/>
          <w:lang w:val="en-US" w:eastAsia="zh-CN"/>
        </w:rPr>
        <w:t>1</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lang w:val="en-US" w:eastAsia="zh-CN"/>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_Toc9322 </w:instrText>
      </w:r>
      <w:r>
        <w:rPr>
          <w:rFonts w:hint="eastAsia" w:ascii="黑体" w:hAnsi="黑体" w:eastAsia="黑体" w:cs="黑体"/>
          <w:bCs/>
        </w:rPr>
        <w:fldChar w:fldCharType="separate"/>
      </w:r>
      <w:r>
        <w:rPr>
          <w:rFonts w:hint="eastAsia" w:ascii="黑体" w:hAnsi="黑体" w:eastAsia="黑体" w:cs="黑体"/>
          <w:bCs/>
        </w:rPr>
        <w:t>十一、政府性基金预算财政拨款收入支出决算表</w:t>
      </w:r>
      <w:r>
        <w:rPr>
          <w:rFonts w:hint="eastAsia" w:ascii="黑体" w:hAnsi="黑体" w:eastAsia="黑体" w:cs="黑体"/>
        </w:rPr>
        <w:tab/>
      </w:r>
      <w:r>
        <w:rPr>
          <w:rFonts w:hint="eastAsia" w:ascii="黑体" w:hAnsi="黑体" w:eastAsia="黑体" w:cs="黑体"/>
          <w:lang w:val="en-US" w:eastAsia="zh-CN"/>
        </w:rPr>
        <w:t>6</w:t>
      </w:r>
      <w:r>
        <w:rPr>
          <w:rFonts w:hint="eastAsia" w:ascii="黑体" w:hAnsi="黑体" w:eastAsia="黑体" w:cs="黑体"/>
          <w:bCs/>
          <w:color w:val="000000"/>
        </w:rPr>
        <w:fldChar w:fldCharType="end"/>
      </w:r>
      <w:r>
        <w:rPr>
          <w:rFonts w:hint="eastAsia" w:ascii="黑体" w:hAnsi="黑体" w:eastAsia="黑体" w:cs="黑体"/>
          <w:bCs/>
          <w:color w:val="000000"/>
          <w:lang w:val="en-US" w:eastAsia="zh-CN"/>
        </w:rPr>
        <w:t>2</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lang w:val="en-US" w:eastAsia="zh-CN"/>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_Toc22886 </w:instrText>
      </w:r>
      <w:r>
        <w:rPr>
          <w:rFonts w:hint="eastAsia" w:ascii="黑体" w:hAnsi="黑体" w:eastAsia="黑体" w:cs="黑体"/>
          <w:bCs/>
        </w:rPr>
        <w:fldChar w:fldCharType="separate"/>
      </w:r>
      <w:r>
        <w:rPr>
          <w:rFonts w:hint="eastAsia" w:ascii="黑体" w:hAnsi="黑体" w:eastAsia="黑体" w:cs="黑体"/>
          <w:bCs/>
        </w:rPr>
        <w:t>十二、政府性基金预算财政拨款“三公”经费支出决算表</w:t>
      </w:r>
      <w:r>
        <w:rPr>
          <w:rFonts w:hint="eastAsia" w:ascii="黑体" w:hAnsi="黑体" w:eastAsia="黑体" w:cs="黑体"/>
        </w:rPr>
        <w:tab/>
      </w:r>
      <w:r>
        <w:rPr>
          <w:rFonts w:hint="eastAsia" w:ascii="黑体" w:hAnsi="黑体" w:eastAsia="黑体" w:cs="黑体"/>
          <w:lang w:val="en-US" w:eastAsia="zh-CN"/>
        </w:rPr>
        <w:t>6</w:t>
      </w:r>
      <w:r>
        <w:rPr>
          <w:rFonts w:hint="eastAsia" w:ascii="黑体" w:hAnsi="黑体" w:eastAsia="黑体" w:cs="黑体"/>
          <w:bCs/>
          <w:color w:val="000000"/>
        </w:rPr>
        <w:fldChar w:fldCharType="end"/>
      </w:r>
      <w:r>
        <w:rPr>
          <w:rFonts w:hint="eastAsia" w:ascii="黑体" w:hAnsi="黑体" w:eastAsia="黑体" w:cs="黑体"/>
          <w:bCs/>
          <w:color w:val="000000"/>
          <w:lang w:val="en-US" w:eastAsia="zh-CN"/>
        </w:rPr>
        <w:t>3</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lang w:val="en-US" w:eastAsia="zh-CN"/>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_Toc26780 </w:instrText>
      </w:r>
      <w:r>
        <w:rPr>
          <w:rFonts w:hint="eastAsia" w:ascii="黑体" w:hAnsi="黑体" w:eastAsia="黑体" w:cs="黑体"/>
          <w:bCs/>
        </w:rPr>
        <w:fldChar w:fldCharType="separate"/>
      </w:r>
      <w:r>
        <w:rPr>
          <w:rFonts w:hint="eastAsia" w:ascii="黑体" w:hAnsi="黑体" w:eastAsia="黑体" w:cs="黑体"/>
          <w:bCs/>
        </w:rPr>
        <w:t>十三、</w:t>
      </w:r>
      <w:r>
        <w:rPr>
          <w:rFonts w:hint="eastAsia" w:ascii="黑体" w:hAnsi="黑体" w:eastAsia="黑体" w:cs="黑体"/>
          <w:bCs w:val="0"/>
        </w:rPr>
        <w:t>国有资本经营预算</w:t>
      </w:r>
      <w:r>
        <w:rPr>
          <w:rFonts w:hint="eastAsia" w:ascii="黑体" w:hAnsi="黑体" w:eastAsia="黑体" w:cs="黑体"/>
          <w:bCs w:val="0"/>
          <w:lang w:eastAsia="zh-CN"/>
        </w:rPr>
        <w:t>财政拨款收入</w:t>
      </w:r>
      <w:r>
        <w:rPr>
          <w:rFonts w:hint="eastAsia" w:ascii="黑体" w:hAnsi="黑体" w:eastAsia="黑体" w:cs="黑体"/>
          <w:bCs w:val="0"/>
        </w:rPr>
        <w:t>支出决算表</w:t>
      </w:r>
      <w:r>
        <w:rPr>
          <w:rFonts w:hint="eastAsia" w:ascii="黑体" w:hAnsi="黑体" w:eastAsia="黑体" w:cs="黑体"/>
        </w:rPr>
        <w:tab/>
      </w:r>
      <w:r>
        <w:rPr>
          <w:rFonts w:hint="eastAsia" w:ascii="黑体" w:hAnsi="黑体" w:eastAsia="黑体" w:cs="黑体"/>
          <w:lang w:val="en-US" w:eastAsia="zh-CN"/>
        </w:rPr>
        <w:t>6</w:t>
      </w:r>
      <w:r>
        <w:rPr>
          <w:rFonts w:hint="eastAsia" w:ascii="黑体" w:hAnsi="黑体" w:eastAsia="黑体" w:cs="黑体"/>
          <w:bCs/>
          <w:color w:val="000000"/>
        </w:rPr>
        <w:fldChar w:fldCharType="end"/>
      </w:r>
      <w:r>
        <w:rPr>
          <w:rFonts w:hint="eastAsia" w:ascii="黑体" w:hAnsi="黑体" w:eastAsia="黑体" w:cs="黑体"/>
          <w:bCs/>
          <w:color w:val="000000"/>
          <w:lang w:val="en-US" w:eastAsia="zh-CN"/>
        </w:rPr>
        <w:t>4</w:t>
      </w:r>
    </w:p>
    <w:p>
      <w:pPr>
        <w:pStyle w:val="11"/>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400" w:lineRule="exact"/>
        <w:textAlignment w:val="auto"/>
        <w:rPr>
          <w:rFonts w:hint="eastAsia" w:ascii="黑体" w:hAnsi="黑体" w:eastAsia="黑体" w:cs="黑体"/>
          <w:lang w:val="en-US" w:eastAsia="zh-CN"/>
        </w:rPr>
      </w:pPr>
      <w:r>
        <w:rPr>
          <w:rFonts w:hint="eastAsia" w:ascii="黑体" w:hAnsi="黑体" w:eastAsia="黑体" w:cs="黑体"/>
          <w:bCs/>
          <w:color w:val="000000"/>
        </w:rPr>
        <w:fldChar w:fldCharType="begin"/>
      </w:r>
      <w:r>
        <w:rPr>
          <w:rFonts w:hint="eastAsia" w:ascii="黑体" w:hAnsi="黑体" w:eastAsia="黑体" w:cs="黑体"/>
          <w:bCs/>
        </w:rPr>
        <w:instrText xml:space="preserve"> HYPERLINK \l _Toc13291 </w:instrText>
      </w:r>
      <w:r>
        <w:rPr>
          <w:rFonts w:hint="eastAsia" w:ascii="黑体" w:hAnsi="黑体" w:eastAsia="黑体" w:cs="黑体"/>
          <w:bCs/>
        </w:rPr>
        <w:fldChar w:fldCharType="separate"/>
      </w:r>
      <w:r>
        <w:rPr>
          <w:rFonts w:hint="eastAsia" w:ascii="黑体" w:hAnsi="黑体" w:eastAsia="黑体" w:cs="黑体"/>
          <w:bCs/>
        </w:rPr>
        <w:t>十</w:t>
      </w:r>
      <w:r>
        <w:rPr>
          <w:rFonts w:hint="eastAsia" w:ascii="黑体" w:hAnsi="黑体" w:eastAsia="黑体" w:cs="黑体"/>
          <w:bCs/>
          <w:lang w:eastAsia="zh-CN"/>
        </w:rPr>
        <w:t>四</w:t>
      </w:r>
      <w:r>
        <w:rPr>
          <w:rFonts w:hint="eastAsia" w:ascii="黑体" w:hAnsi="黑体" w:eastAsia="黑体" w:cs="黑体"/>
          <w:bCs/>
        </w:rPr>
        <w:t>、</w:t>
      </w:r>
      <w:r>
        <w:rPr>
          <w:rFonts w:hint="eastAsia" w:ascii="黑体" w:hAnsi="黑体" w:eastAsia="黑体" w:cs="黑体"/>
          <w:bCs/>
          <w:lang w:eastAsia="zh-CN"/>
        </w:rPr>
        <w:t>国有资本经营预算财政拨款支出决算表</w:t>
      </w:r>
      <w:r>
        <w:rPr>
          <w:rFonts w:hint="eastAsia" w:ascii="黑体" w:hAnsi="黑体" w:eastAsia="黑体" w:cs="黑体"/>
        </w:rPr>
        <w:tab/>
      </w:r>
      <w:r>
        <w:rPr>
          <w:rFonts w:hint="eastAsia" w:ascii="黑体" w:hAnsi="黑体" w:eastAsia="黑体" w:cs="黑体"/>
          <w:lang w:val="en-US" w:eastAsia="zh-CN"/>
        </w:rPr>
        <w:t>6</w:t>
      </w:r>
      <w:r>
        <w:rPr>
          <w:rFonts w:hint="eastAsia" w:ascii="黑体" w:hAnsi="黑体" w:eastAsia="黑体" w:cs="黑体"/>
          <w:bCs/>
          <w:color w:val="000000"/>
        </w:rPr>
        <w:fldChar w:fldCharType="end"/>
      </w:r>
      <w:r>
        <w:rPr>
          <w:rFonts w:hint="eastAsia" w:ascii="黑体" w:hAnsi="黑体" w:eastAsia="黑体" w:cs="黑体"/>
          <w:bCs/>
          <w:color w:val="000000"/>
          <w:lang w:val="en-US" w:eastAsia="zh-CN"/>
        </w:rPr>
        <w:t>5</w:t>
      </w:r>
    </w:p>
    <w:p>
      <w:pPr>
        <w:keepNext w:val="0"/>
        <w:keepLines w:val="0"/>
        <w:pageBreakBefore w:val="0"/>
        <w:widowControl/>
        <w:tabs>
          <w:tab w:val="right" w:leader="dot" w:pos="8306"/>
        </w:tabs>
        <w:kinsoku/>
        <w:wordWrap/>
        <w:overflowPunct/>
        <w:topLinePunct w:val="0"/>
        <w:autoSpaceDE/>
        <w:autoSpaceDN/>
        <w:bidi w:val="0"/>
        <w:adjustRightInd w:val="0"/>
        <w:snapToGrid w:val="0"/>
        <w:spacing w:line="340" w:lineRule="exact"/>
        <w:jc w:val="center"/>
        <w:textAlignment w:val="auto"/>
        <w:rPr>
          <w:rFonts w:hint="default" w:ascii="Times New Roman" w:hAnsi="Times New Roman" w:eastAsia="黑体" w:cs="Times New Roman"/>
          <w:b/>
          <w:bCs/>
        </w:rPr>
        <w:sectPr>
          <w:footerReference r:id="rId6" w:type="first"/>
          <w:footerReference r:id="rId5" w:type="default"/>
          <w:pgSz w:w="11906" w:h="16838"/>
          <w:pgMar w:top="1440" w:right="1800" w:bottom="1440" w:left="1800" w:header="851" w:footer="992" w:gutter="0"/>
          <w:pgNumType w:start="1"/>
          <w:cols w:space="425" w:num="1"/>
          <w:docGrid w:type="lines" w:linePitch="312" w:charSpace="0"/>
        </w:sectPr>
      </w:pPr>
      <w:r>
        <w:rPr>
          <w:rFonts w:hint="default" w:ascii="Times New Roman" w:hAnsi="Times New Roman" w:eastAsia="仿宋" w:cs="Times New Roman"/>
          <w:bCs/>
          <w:color w:val="000000"/>
        </w:rPr>
        <w:fldChar w:fldCharType="end"/>
      </w:r>
      <w:bookmarkStart w:id="38" w:name="_Toc15377196"/>
    </w:p>
    <w:p>
      <w:pPr>
        <w:pStyle w:val="2"/>
        <w:pageBreakBefore w:val="0"/>
        <w:widowControl w:val="0"/>
        <w:kinsoku/>
        <w:wordWrap/>
        <w:overflowPunct/>
        <w:topLinePunct w:val="0"/>
        <w:autoSpaceDE/>
        <w:autoSpaceDN/>
        <w:bidi w:val="0"/>
        <w:adjustRightInd w:val="0"/>
        <w:snapToGrid w:val="0"/>
        <w:spacing w:after="0" w:afterAutospacing="0" w:line="580" w:lineRule="exact"/>
        <w:jc w:val="center"/>
        <w:textAlignment w:val="auto"/>
        <w:rPr>
          <w:rFonts w:hint="default" w:ascii="Times New Roman" w:hAnsi="Times New Roman" w:eastAsia="黑体" w:cs="Times New Roman"/>
          <w:b/>
          <w:bCs/>
          <w:color w:val="000000"/>
          <w:sz w:val="32"/>
          <w:szCs w:val="32"/>
        </w:rPr>
      </w:pPr>
      <w:bookmarkStart w:id="39" w:name="_Toc6665"/>
      <w:r>
        <w:rPr>
          <w:rFonts w:hint="default" w:ascii="Times New Roman" w:hAnsi="Times New Roman" w:eastAsia="黑体" w:cs="Times New Roman"/>
          <w:b/>
          <w:bCs/>
        </w:rPr>
        <w:t xml:space="preserve">第一部分 </w:t>
      </w:r>
      <w:r>
        <w:rPr>
          <w:rStyle w:val="25"/>
          <w:rFonts w:hint="eastAsia" w:eastAsia="黑体" w:cs="Times New Roman"/>
          <w:b/>
          <w:bCs/>
          <w:lang w:eastAsia="zh-CN"/>
        </w:rPr>
        <w:t>单位</w:t>
      </w:r>
      <w:r>
        <w:rPr>
          <w:rStyle w:val="25"/>
          <w:rFonts w:hint="default" w:ascii="Times New Roman" w:hAnsi="Times New Roman" w:eastAsia="黑体" w:cs="Times New Roman"/>
          <w:b/>
          <w:bCs/>
        </w:rPr>
        <w:t>概况</w:t>
      </w:r>
      <w:bookmarkEnd w:id="38"/>
      <w:bookmarkEnd w:id="39"/>
    </w:p>
    <w:p>
      <w:pPr>
        <w:pStyle w:val="3"/>
        <w:pageBreakBefore w:val="0"/>
        <w:widowControl w:val="0"/>
        <w:kinsoku/>
        <w:wordWrap/>
        <w:overflowPunct/>
        <w:topLinePunct w:val="0"/>
        <w:autoSpaceDE/>
        <w:autoSpaceDN/>
        <w:bidi w:val="0"/>
        <w:adjustRightInd w:val="0"/>
        <w:snapToGrid w:val="0"/>
        <w:spacing w:before="0" w:beforeAutospacing="0" w:after="0" w:afterAutospacing="0" w:line="580" w:lineRule="exact"/>
        <w:ind w:firstLine="643" w:firstLineChars="200"/>
        <w:textAlignment w:val="auto"/>
        <w:rPr>
          <w:rStyle w:val="26"/>
          <w:rFonts w:hint="eastAsia" w:ascii="Times New Roman" w:hAnsi="Times New Roman" w:eastAsia="黑体" w:cs="Times New Roman"/>
          <w:b/>
          <w:bCs/>
          <w:lang w:eastAsia="zh-CN"/>
        </w:rPr>
      </w:pPr>
      <w:bookmarkStart w:id="40" w:name="_Toc15377197"/>
      <w:bookmarkStart w:id="41" w:name="_Toc1228"/>
      <w:r>
        <w:rPr>
          <w:rFonts w:hint="default" w:ascii="Times New Roman" w:hAnsi="Times New Roman" w:eastAsia="黑体" w:cs="Times New Roman"/>
          <w:b/>
          <w:bCs/>
          <w:color w:val="000000"/>
        </w:rPr>
        <w:t>一、</w:t>
      </w:r>
      <w:bookmarkEnd w:id="40"/>
      <w:bookmarkStart w:id="42" w:name="_Toc15378445"/>
      <w:bookmarkStart w:id="43" w:name="_Toc15377198"/>
      <w:r>
        <w:rPr>
          <w:rFonts w:hint="eastAsia" w:ascii="Times New Roman" w:hAnsi="Times New Roman" w:eastAsia="黑体" w:cs="Times New Roman"/>
          <w:b/>
          <w:bCs/>
          <w:color w:val="000000"/>
          <w:lang w:eastAsia="zh-CN"/>
        </w:rPr>
        <w:t>职能简介</w:t>
      </w:r>
      <w:bookmarkEnd w:id="41"/>
    </w:p>
    <w:bookmarkEnd w:id="42"/>
    <w:bookmarkEnd w:id="43"/>
    <w:p>
      <w:pPr>
        <w:pStyle w:val="5"/>
        <w:keepNext w:val="0"/>
        <w:keepLines w:val="0"/>
        <w:pageBreakBefore w:val="0"/>
        <w:widowControl w:val="0"/>
        <w:kinsoku/>
        <w:wordWrap/>
        <w:overflowPunct/>
        <w:topLinePunct w:val="0"/>
        <w:autoSpaceDE/>
        <w:autoSpaceDN/>
        <w:bidi w:val="0"/>
        <w:adjustRightInd w:val="0"/>
        <w:snapToGrid w:val="0"/>
        <w:spacing w:beforeLines="0" w:beforeAutospacing="0" w:line="580" w:lineRule="exact"/>
        <w:ind w:firstLine="675" w:firstLineChars="210"/>
        <w:textAlignment w:val="auto"/>
        <w:rPr>
          <w:rFonts w:hint="eastAsia" w:ascii="仿宋" w:hAnsi="仿宋" w:eastAsia="仿宋" w:cs="仿宋"/>
          <w:b/>
          <w:bCs/>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1.</w:t>
      </w:r>
      <w:r>
        <w:rPr>
          <w:rFonts w:hint="eastAsia" w:ascii="仿宋" w:hAnsi="仿宋" w:eastAsia="仿宋" w:cs="仿宋"/>
          <w:b/>
          <w:bCs/>
          <w:kern w:val="2"/>
          <w:sz w:val="32"/>
          <w:szCs w:val="32"/>
          <w:lang w:val="en-US" w:eastAsia="zh-CN" w:bidi="ar-SA"/>
        </w:rPr>
        <w:t>负责中央和省委重要工作部署，中央和省委领导重要指示批示的贯彻落实、统筹协调、督促检查，承担中央巡视整改有关工作。</w:t>
      </w:r>
    </w:p>
    <w:p>
      <w:pPr>
        <w:pStyle w:val="5"/>
        <w:keepNext w:val="0"/>
        <w:keepLines w:val="0"/>
        <w:pageBreakBefore w:val="0"/>
        <w:widowControl w:val="0"/>
        <w:kinsoku/>
        <w:wordWrap/>
        <w:overflowPunct/>
        <w:topLinePunct w:val="0"/>
        <w:autoSpaceDE/>
        <w:autoSpaceDN/>
        <w:bidi w:val="0"/>
        <w:adjustRightInd w:val="0"/>
        <w:snapToGrid w:val="0"/>
        <w:spacing w:before="130" w:line="580" w:lineRule="exact"/>
        <w:ind w:firstLine="675" w:firstLineChars="210"/>
        <w:textAlignment w:val="auto"/>
        <w:rPr>
          <w:rFonts w:hint="eastAsia" w:ascii="仿宋" w:hAnsi="仿宋" w:eastAsia="仿宋" w:cs="仿宋"/>
          <w:b/>
          <w:bCs/>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2.</w:t>
      </w:r>
      <w:r>
        <w:rPr>
          <w:rFonts w:hint="eastAsia" w:ascii="仿宋" w:hAnsi="仿宋" w:eastAsia="仿宋" w:cs="仿宋"/>
          <w:b/>
          <w:bCs/>
          <w:kern w:val="2"/>
          <w:sz w:val="32"/>
          <w:szCs w:val="32"/>
          <w:lang w:val="en-US" w:eastAsia="zh-CN" w:bidi="ar-SA"/>
        </w:rPr>
        <w:t>负责省委会议、重大活动的准备和实施工作，省委领导活动的协调安排，服务省委有关文稿。</w:t>
      </w:r>
    </w:p>
    <w:p>
      <w:pPr>
        <w:pStyle w:val="5"/>
        <w:keepNext w:val="0"/>
        <w:keepLines w:val="0"/>
        <w:pageBreakBefore w:val="0"/>
        <w:widowControl w:val="0"/>
        <w:kinsoku/>
        <w:wordWrap/>
        <w:overflowPunct/>
        <w:topLinePunct w:val="0"/>
        <w:autoSpaceDE/>
        <w:autoSpaceDN/>
        <w:bidi w:val="0"/>
        <w:adjustRightInd w:val="0"/>
        <w:snapToGrid w:val="0"/>
        <w:spacing w:before="130" w:line="580" w:lineRule="exact"/>
        <w:ind w:firstLine="675" w:firstLineChars="21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color w:val="auto"/>
          <w:kern w:val="2"/>
          <w:sz w:val="32"/>
          <w:szCs w:val="32"/>
          <w:lang w:val="en-US" w:eastAsia="zh-CN" w:bidi="ar-SA"/>
        </w:rPr>
        <w:t>3.</w:t>
      </w:r>
      <w:r>
        <w:rPr>
          <w:rFonts w:hint="eastAsia" w:ascii="仿宋" w:hAnsi="仿宋" w:eastAsia="仿宋" w:cs="仿宋"/>
          <w:b/>
          <w:bCs/>
          <w:kern w:val="2"/>
          <w:sz w:val="32"/>
          <w:szCs w:val="32"/>
          <w:lang w:val="en-US" w:eastAsia="zh-CN" w:bidi="ar-SA"/>
        </w:rPr>
        <w:t>负责省委文件的审核、送签、印制、分发、管理、清退、销毁等工作。</w:t>
      </w:r>
    </w:p>
    <w:p>
      <w:pPr>
        <w:pStyle w:val="5"/>
        <w:keepNext w:val="0"/>
        <w:keepLines w:val="0"/>
        <w:pageBreakBefore w:val="0"/>
        <w:widowControl w:val="0"/>
        <w:kinsoku/>
        <w:wordWrap/>
        <w:overflowPunct/>
        <w:topLinePunct w:val="0"/>
        <w:autoSpaceDE/>
        <w:autoSpaceDN/>
        <w:bidi w:val="0"/>
        <w:adjustRightInd w:val="0"/>
        <w:snapToGrid w:val="0"/>
        <w:spacing w:before="130" w:line="580" w:lineRule="exact"/>
        <w:ind w:firstLine="675" w:firstLineChars="210"/>
        <w:textAlignment w:val="auto"/>
        <w:rPr>
          <w:rFonts w:hint="eastAsia" w:ascii="仿宋" w:hAnsi="仿宋" w:eastAsia="仿宋" w:cs="仿宋"/>
          <w:b/>
          <w:bCs/>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4.</w:t>
      </w:r>
      <w:r>
        <w:rPr>
          <w:rFonts w:hint="eastAsia" w:ascii="仿宋" w:hAnsi="仿宋" w:eastAsia="仿宋" w:cs="仿宋"/>
          <w:b/>
          <w:bCs/>
          <w:kern w:val="2"/>
          <w:sz w:val="32"/>
          <w:szCs w:val="32"/>
          <w:lang w:val="en-US" w:eastAsia="zh-CN" w:bidi="ar-SA"/>
        </w:rPr>
        <w:t>负责各地、各部门报送省委的请示、报告等公文办理工作。</w:t>
      </w:r>
    </w:p>
    <w:p>
      <w:pPr>
        <w:pStyle w:val="5"/>
        <w:keepNext w:val="0"/>
        <w:keepLines w:val="0"/>
        <w:pageBreakBefore w:val="0"/>
        <w:widowControl w:val="0"/>
        <w:kinsoku/>
        <w:wordWrap/>
        <w:overflowPunct/>
        <w:topLinePunct w:val="0"/>
        <w:autoSpaceDE/>
        <w:autoSpaceDN/>
        <w:bidi w:val="0"/>
        <w:adjustRightInd w:val="0"/>
        <w:snapToGrid w:val="0"/>
        <w:spacing w:before="130" w:line="580" w:lineRule="exact"/>
        <w:ind w:firstLine="675" w:firstLineChars="210"/>
        <w:textAlignment w:val="auto"/>
        <w:rPr>
          <w:rFonts w:hint="eastAsia" w:ascii="仿宋" w:hAnsi="仿宋" w:eastAsia="仿宋" w:cs="仿宋"/>
          <w:b/>
          <w:bCs/>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5.</w:t>
      </w:r>
      <w:r>
        <w:rPr>
          <w:rFonts w:hint="eastAsia" w:ascii="仿宋" w:hAnsi="仿宋" w:eastAsia="仿宋" w:cs="仿宋"/>
          <w:b/>
          <w:bCs/>
          <w:kern w:val="2"/>
          <w:sz w:val="32"/>
          <w:szCs w:val="32"/>
          <w:lang w:val="en-US" w:eastAsia="zh-CN" w:bidi="ar-SA"/>
        </w:rPr>
        <w:t>负责省委党内法规和规范性文件报送中央备案、解释、评估、清理工作，以及各市（州）党委、省委部委和省直各部门党组（党委）、各人民团体党组规范性文件的备案审查工作。</w:t>
      </w:r>
    </w:p>
    <w:p>
      <w:pPr>
        <w:pStyle w:val="5"/>
        <w:keepNext w:val="0"/>
        <w:keepLines w:val="0"/>
        <w:pageBreakBefore w:val="0"/>
        <w:widowControl w:val="0"/>
        <w:kinsoku/>
        <w:wordWrap/>
        <w:overflowPunct/>
        <w:topLinePunct w:val="0"/>
        <w:autoSpaceDE/>
        <w:autoSpaceDN/>
        <w:bidi w:val="0"/>
        <w:adjustRightInd w:val="0"/>
        <w:snapToGrid w:val="0"/>
        <w:spacing w:before="130" w:line="580" w:lineRule="exact"/>
        <w:ind w:firstLine="675" w:firstLineChars="21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color w:val="auto"/>
          <w:kern w:val="2"/>
          <w:sz w:val="32"/>
          <w:szCs w:val="32"/>
          <w:lang w:val="en-US" w:eastAsia="zh-CN" w:bidi="ar-SA"/>
        </w:rPr>
        <w:t>6.</w:t>
      </w:r>
      <w:r>
        <w:rPr>
          <w:rFonts w:hint="eastAsia" w:ascii="仿宋" w:hAnsi="仿宋" w:eastAsia="仿宋" w:cs="仿宋"/>
          <w:b/>
          <w:bCs/>
          <w:kern w:val="2"/>
          <w:sz w:val="32"/>
          <w:szCs w:val="32"/>
          <w:lang w:val="en-US" w:eastAsia="zh-CN" w:bidi="ar-SA"/>
        </w:rPr>
        <w:t>负责推动省委重要会议、重要文件精神和重要工作情况等公开。</w:t>
      </w:r>
    </w:p>
    <w:p>
      <w:pPr>
        <w:pStyle w:val="5"/>
        <w:keepNext w:val="0"/>
        <w:keepLines w:val="0"/>
        <w:pageBreakBefore w:val="0"/>
        <w:widowControl w:val="0"/>
        <w:kinsoku/>
        <w:wordWrap/>
        <w:overflowPunct/>
        <w:topLinePunct w:val="0"/>
        <w:autoSpaceDE/>
        <w:autoSpaceDN/>
        <w:bidi w:val="0"/>
        <w:adjustRightInd w:val="0"/>
        <w:snapToGrid w:val="0"/>
        <w:spacing w:before="130" w:line="580" w:lineRule="exact"/>
        <w:ind w:firstLine="675" w:firstLineChars="210"/>
        <w:textAlignment w:val="auto"/>
        <w:rPr>
          <w:rFonts w:hint="eastAsia" w:ascii="仿宋" w:hAnsi="仿宋" w:eastAsia="仿宋" w:cs="仿宋"/>
          <w:b/>
          <w:bCs/>
          <w:kern w:val="2"/>
          <w:sz w:val="32"/>
          <w:szCs w:val="32"/>
          <w:lang w:val="en-US" w:eastAsia="zh-CN" w:bidi="ar-SA"/>
        </w:rPr>
      </w:pPr>
      <w:r>
        <w:rPr>
          <w:rFonts w:hint="eastAsia" w:ascii="仿宋" w:hAnsi="仿宋" w:eastAsia="仿宋" w:cs="仿宋"/>
          <w:b/>
          <w:bCs/>
          <w:color w:val="auto"/>
          <w:kern w:val="2"/>
          <w:sz w:val="32"/>
          <w:szCs w:val="32"/>
          <w:lang w:val="en-US" w:eastAsia="zh-CN" w:bidi="ar-SA"/>
        </w:rPr>
        <w:t>7.</w:t>
      </w:r>
      <w:r>
        <w:rPr>
          <w:rFonts w:hint="eastAsia" w:ascii="仿宋" w:hAnsi="仿宋" w:eastAsia="仿宋" w:cs="仿宋"/>
          <w:b/>
          <w:bCs/>
          <w:kern w:val="2"/>
          <w:sz w:val="32"/>
          <w:szCs w:val="32"/>
          <w:lang w:val="en-US" w:eastAsia="zh-CN" w:bidi="ar-SA"/>
        </w:rPr>
        <w:t>围绕中央和省委工作部署，收集信息、反映动态、开展调研。</w:t>
      </w:r>
    </w:p>
    <w:p>
      <w:pPr>
        <w:pStyle w:val="5"/>
        <w:keepNext w:val="0"/>
        <w:keepLines w:val="0"/>
        <w:pageBreakBefore w:val="0"/>
        <w:widowControl w:val="0"/>
        <w:kinsoku/>
        <w:wordWrap/>
        <w:overflowPunct/>
        <w:topLinePunct w:val="0"/>
        <w:autoSpaceDE/>
        <w:autoSpaceDN/>
        <w:bidi w:val="0"/>
        <w:adjustRightInd w:val="0"/>
        <w:snapToGrid w:val="0"/>
        <w:spacing w:before="130" w:line="580" w:lineRule="exact"/>
        <w:ind w:firstLine="675" w:firstLineChars="210"/>
        <w:textAlignment w:val="auto"/>
        <w:rPr>
          <w:rFonts w:hint="eastAsia" w:ascii="仿宋" w:hAnsi="仿宋" w:eastAsia="仿宋" w:cs="仿宋"/>
          <w:b/>
          <w:bCs/>
          <w:color w:val="FF0000"/>
          <w:kern w:val="2"/>
          <w:sz w:val="32"/>
          <w:szCs w:val="32"/>
          <w:lang w:val="en-US" w:eastAsia="zh-CN" w:bidi="ar-SA"/>
        </w:rPr>
      </w:pPr>
      <w:r>
        <w:rPr>
          <w:rFonts w:hint="eastAsia" w:ascii="仿宋" w:hAnsi="仿宋" w:eastAsia="仿宋" w:cs="仿宋"/>
          <w:b/>
          <w:bCs/>
          <w:color w:val="auto"/>
          <w:kern w:val="2"/>
          <w:sz w:val="32"/>
          <w:szCs w:val="32"/>
          <w:lang w:val="en-US" w:eastAsia="zh-CN" w:bidi="ar-SA"/>
        </w:rPr>
        <w:t>8.负责处理国家安全委员会办公室日常事务，领导、组织、协调涉及国家安全的各项工作。</w:t>
      </w:r>
    </w:p>
    <w:p>
      <w:pPr>
        <w:pStyle w:val="5"/>
        <w:keepNext w:val="0"/>
        <w:keepLines w:val="0"/>
        <w:pageBreakBefore w:val="0"/>
        <w:widowControl w:val="0"/>
        <w:kinsoku/>
        <w:wordWrap/>
        <w:overflowPunct/>
        <w:topLinePunct w:val="0"/>
        <w:autoSpaceDE/>
        <w:autoSpaceDN/>
        <w:bidi w:val="0"/>
        <w:adjustRightInd w:val="0"/>
        <w:snapToGrid w:val="0"/>
        <w:spacing w:before="130" w:line="580" w:lineRule="exact"/>
        <w:ind w:firstLine="675" w:firstLineChars="210"/>
        <w:textAlignment w:val="auto"/>
        <w:rPr>
          <w:rFonts w:hint="eastAsia" w:ascii="仿宋" w:hAnsi="仿宋" w:eastAsia="仿宋" w:cs="仿宋"/>
          <w:b/>
          <w:bCs/>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9.负责档案行政审批、行政执法等工作，指导监督全省档案工作。</w:t>
      </w:r>
    </w:p>
    <w:p>
      <w:pPr>
        <w:pStyle w:val="5"/>
        <w:keepNext w:val="0"/>
        <w:keepLines w:val="0"/>
        <w:pageBreakBefore w:val="0"/>
        <w:widowControl w:val="0"/>
        <w:kinsoku/>
        <w:wordWrap/>
        <w:overflowPunct/>
        <w:topLinePunct w:val="0"/>
        <w:autoSpaceDE/>
        <w:autoSpaceDN/>
        <w:bidi w:val="0"/>
        <w:adjustRightInd w:val="0"/>
        <w:snapToGrid w:val="0"/>
        <w:spacing w:before="130" w:line="580" w:lineRule="exact"/>
        <w:ind w:firstLine="675" w:firstLineChars="210"/>
        <w:textAlignment w:val="auto"/>
        <w:rPr>
          <w:rFonts w:hint="eastAsia" w:ascii="仿宋" w:hAnsi="仿宋" w:eastAsia="仿宋" w:cs="仿宋"/>
          <w:b/>
          <w:bCs/>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10.管理部门管理机构、直属事业单位。</w:t>
      </w:r>
    </w:p>
    <w:p>
      <w:pPr>
        <w:pStyle w:val="5"/>
        <w:keepNext w:val="0"/>
        <w:keepLines w:val="0"/>
        <w:pageBreakBefore w:val="0"/>
        <w:widowControl w:val="0"/>
        <w:kinsoku/>
        <w:wordWrap/>
        <w:overflowPunct/>
        <w:topLinePunct w:val="0"/>
        <w:autoSpaceDE/>
        <w:autoSpaceDN/>
        <w:bidi w:val="0"/>
        <w:adjustRightInd w:val="0"/>
        <w:snapToGrid w:val="0"/>
        <w:spacing w:beforeLines="0" w:beforeAutospacing="0" w:afterAutospacing="0" w:line="580" w:lineRule="exact"/>
        <w:ind w:firstLine="675" w:firstLineChars="210"/>
        <w:textAlignment w:val="auto"/>
        <w:rPr>
          <w:rFonts w:hint="default" w:ascii="Times New Roman" w:hAnsi="Times New Roman" w:eastAsia="方正仿宋简体" w:cs="Times New Roman"/>
          <w:b/>
          <w:bCs/>
          <w:color w:val="000000"/>
          <w:sz w:val="32"/>
          <w:szCs w:val="32"/>
        </w:rPr>
      </w:pPr>
      <w:r>
        <w:rPr>
          <w:rFonts w:hint="eastAsia" w:ascii="仿宋" w:hAnsi="仿宋" w:eastAsia="仿宋" w:cs="仿宋"/>
          <w:b/>
          <w:bCs/>
          <w:color w:val="auto"/>
          <w:kern w:val="2"/>
          <w:sz w:val="32"/>
          <w:szCs w:val="32"/>
          <w:lang w:val="en-US" w:eastAsia="zh-CN" w:bidi="ar-SA"/>
        </w:rPr>
        <w:t>11.完成省委交办的其他工作。</w:t>
      </w:r>
    </w:p>
    <w:p>
      <w:pPr>
        <w:pStyle w:val="3"/>
        <w:pageBreakBefore w:val="0"/>
        <w:widowControl w:val="0"/>
        <w:kinsoku/>
        <w:wordWrap/>
        <w:overflowPunct/>
        <w:topLinePunct w:val="0"/>
        <w:autoSpaceDE/>
        <w:autoSpaceDN/>
        <w:bidi w:val="0"/>
        <w:spacing w:before="0" w:beforeAutospacing="0" w:after="0" w:afterAutospacing="0" w:line="580" w:lineRule="exact"/>
        <w:ind w:firstLine="643" w:firstLineChars="200"/>
        <w:textAlignment w:val="auto"/>
        <w:rPr>
          <w:rFonts w:hint="eastAsia" w:ascii="黑体" w:hAnsi="黑体" w:eastAsia="黑体" w:cs="黑体"/>
        </w:rPr>
      </w:pPr>
      <w:bookmarkStart w:id="44" w:name="_Toc15377199"/>
      <w:bookmarkStart w:id="45" w:name="_Toc15378446"/>
      <w:bookmarkStart w:id="46" w:name="_Toc4832"/>
      <w:r>
        <w:rPr>
          <w:rFonts w:hint="eastAsia" w:ascii="黑体" w:hAnsi="黑体" w:eastAsia="黑体" w:cs="黑体"/>
          <w:lang w:eastAsia="zh-CN"/>
        </w:rPr>
        <w:t>二、</w:t>
      </w:r>
      <w:r>
        <w:rPr>
          <w:rFonts w:hint="eastAsia" w:ascii="黑体" w:hAnsi="黑体" w:eastAsia="黑体" w:cs="黑体"/>
        </w:rPr>
        <w:t>20</w:t>
      </w:r>
      <w:r>
        <w:rPr>
          <w:rFonts w:hint="eastAsia" w:ascii="黑体" w:hAnsi="黑体" w:eastAsia="黑体" w:cs="黑体"/>
          <w:lang w:val="en-US" w:eastAsia="zh-CN"/>
        </w:rPr>
        <w:t>20</w:t>
      </w:r>
      <w:r>
        <w:rPr>
          <w:rFonts w:hint="eastAsia" w:ascii="黑体" w:hAnsi="黑体" w:eastAsia="黑体" w:cs="黑体"/>
        </w:rPr>
        <w:t>年重点工作完成情况</w:t>
      </w:r>
      <w:bookmarkEnd w:id="44"/>
      <w:bookmarkEnd w:id="45"/>
      <w:bookmarkEnd w:id="46"/>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2020年，省委办公厅</w:t>
      </w:r>
      <w:r>
        <w:rPr>
          <w:rFonts w:hint="eastAsia" w:ascii="仿宋" w:hAnsi="仿宋" w:eastAsia="仿宋" w:cs="仿宋"/>
          <w:b/>
          <w:bCs/>
          <w:sz w:val="32"/>
          <w:szCs w:val="32"/>
        </w:rPr>
        <w:t>坚持以习近平新时代中国特色社会主义思想为指导，在省委坚强领导下，围绕中心、服务大局，忠诚履职、克难奋进，全力推动党中央和省委决策部署落地见效，全力服务和保障省委高效运转。旗帜鲜明讲政治，做好习近平总书记重要批示办理、加强向党中央请示报告等重要工作，助推习近平总书记重要讲话精神和党中央重大决策部署在我省贯彻落实，以实际行动践行“两个维护”。因时因势谋大事，聚焦疫情防控、成渝地区双城经济圈建设、“十四五”规划、脱贫攻坚收官、森林防灭火专项整治等大事要事，履职尽责、服务协调。持续用力抓落实，扭住项目化清单化督查、推进“六稳”“六保”工作、巩固深化作风建设专项整治成果、国家安全等重点关键环节，研究推动、精准施策，确保工作实效。严细深实强保障，不断提升应急值守、</w:t>
      </w:r>
      <w:r>
        <w:rPr>
          <w:rFonts w:hint="eastAsia" w:ascii="仿宋" w:hAnsi="仿宋" w:eastAsia="仿宋" w:cs="仿宋"/>
          <w:b/>
          <w:bCs/>
          <w:sz w:val="32"/>
          <w:szCs w:val="32"/>
          <w:lang w:eastAsia="zh-CN"/>
        </w:rPr>
        <w:t>公文处理</w:t>
      </w:r>
      <w:r>
        <w:rPr>
          <w:rFonts w:hint="eastAsia" w:ascii="仿宋" w:hAnsi="仿宋" w:eastAsia="仿宋" w:cs="仿宋"/>
          <w:b/>
          <w:bCs/>
          <w:sz w:val="32"/>
          <w:szCs w:val="32"/>
        </w:rPr>
        <w:t>、党内法规、会议</w:t>
      </w:r>
      <w:r>
        <w:rPr>
          <w:rFonts w:hint="eastAsia" w:ascii="仿宋" w:hAnsi="仿宋" w:eastAsia="仿宋" w:cs="仿宋"/>
          <w:b/>
          <w:bCs/>
          <w:sz w:val="32"/>
          <w:szCs w:val="32"/>
          <w:lang w:eastAsia="zh-CN"/>
        </w:rPr>
        <w:t>服务</w:t>
      </w:r>
      <w:r>
        <w:rPr>
          <w:rFonts w:hint="eastAsia" w:ascii="仿宋" w:hAnsi="仿宋" w:eastAsia="仿宋" w:cs="仿宋"/>
          <w:b/>
          <w:bCs/>
          <w:sz w:val="32"/>
          <w:szCs w:val="32"/>
        </w:rPr>
        <w:t>、文稿信息、督促检查、机要</w:t>
      </w:r>
      <w:r>
        <w:rPr>
          <w:rFonts w:hint="eastAsia" w:ascii="仿宋" w:hAnsi="仿宋" w:eastAsia="仿宋" w:cs="仿宋"/>
          <w:b/>
          <w:bCs/>
          <w:sz w:val="32"/>
          <w:szCs w:val="32"/>
          <w:lang w:eastAsia="zh-CN"/>
        </w:rPr>
        <w:t>密码</w:t>
      </w:r>
      <w:r>
        <w:rPr>
          <w:rFonts w:hint="eastAsia" w:ascii="仿宋" w:hAnsi="仿宋" w:eastAsia="仿宋" w:cs="仿宋"/>
          <w:b/>
          <w:bCs/>
          <w:sz w:val="32"/>
          <w:szCs w:val="32"/>
        </w:rPr>
        <w:t>、</w:t>
      </w:r>
      <w:r>
        <w:rPr>
          <w:rFonts w:hint="eastAsia" w:ascii="仿宋" w:hAnsi="仿宋" w:eastAsia="仿宋" w:cs="仿宋"/>
          <w:b/>
          <w:bCs/>
          <w:sz w:val="32"/>
          <w:szCs w:val="32"/>
          <w:lang w:eastAsia="zh-CN"/>
        </w:rPr>
        <w:t>保密工作、</w:t>
      </w:r>
      <w:r>
        <w:rPr>
          <w:rFonts w:hint="eastAsia" w:ascii="仿宋" w:hAnsi="仿宋" w:eastAsia="仿宋" w:cs="仿宋"/>
          <w:b/>
          <w:bCs/>
          <w:sz w:val="32"/>
          <w:szCs w:val="32"/>
        </w:rPr>
        <w:t>机要交通、干部人事、安全保卫、专用通信、档案管理、后勤保障等工作质效，持续推动“三服务”工作再上新台阶。深入践行“五个坚持”根本标准，持续推进班子建设、机关党建、党风廉政等工作，努力建设让党放心、让人民满意的模范机关。</w:t>
      </w:r>
    </w:p>
    <w:p>
      <w:pPr>
        <w:pStyle w:val="5"/>
        <w:keepNext w:val="0"/>
        <w:keepLines w:val="0"/>
        <w:pageBreakBefore w:val="0"/>
        <w:widowControl w:val="0"/>
        <w:numPr>
          <w:ilvl w:val="0"/>
          <w:numId w:val="1"/>
        </w:numPr>
        <w:kinsoku/>
        <w:wordWrap/>
        <w:overflowPunct/>
        <w:topLinePunct w:val="0"/>
        <w:autoSpaceDE/>
        <w:autoSpaceDN/>
        <w:bidi w:val="0"/>
        <w:adjustRightInd w:val="0"/>
        <w:snapToGrid w:val="0"/>
        <w:spacing w:beforeLines="0" w:beforeAutospacing="0" w:afterAutospacing="0" w:line="580" w:lineRule="exact"/>
        <w:ind w:firstLine="675" w:firstLineChars="210"/>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机构设置情况</w:t>
      </w: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省委办公厅机关由23个内设机构组成，分别是：办公室（省委值班室）、省委常委办、秘书处、法规处、会议处、综合室（含综合一、二、三、四处）、省委督查室、省委机要局、信息处、机要交通处、财务处、行政管理处、人事处、保卫处、离退休人员工作处、省档案局（含档案管理一、二处）、综合五处、综合六处、综合七处、综合八处、综合九处、机关党委、省纪委监委驻省委办公厅纪检监察组。</w:t>
      </w: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580" w:lineRule="exact"/>
        <w:textAlignment w:val="auto"/>
        <w:rPr>
          <w:rFonts w:hint="default" w:ascii="仿宋" w:hAnsi="仿宋" w:eastAsia="仿宋" w:cs="仿宋"/>
          <w:b/>
          <w:bCs/>
          <w:sz w:val="32"/>
          <w:szCs w:val="32"/>
        </w:rPr>
      </w:pPr>
      <w:bookmarkStart w:id="102" w:name="_GoBack"/>
      <w:bookmarkEnd w:id="102"/>
    </w:p>
    <w:p>
      <w:pPr>
        <w:pStyle w:val="2"/>
        <w:pageBreakBefore w:val="0"/>
        <w:widowControl w:val="0"/>
        <w:kinsoku/>
        <w:wordWrap/>
        <w:overflowPunct/>
        <w:topLinePunct w:val="0"/>
        <w:autoSpaceDE/>
        <w:autoSpaceDN/>
        <w:bidi w:val="0"/>
        <w:adjustRightInd w:val="0"/>
        <w:snapToGrid w:val="0"/>
        <w:spacing w:after="0" w:afterAutospacing="0" w:line="600" w:lineRule="exact"/>
        <w:ind w:right="440"/>
        <w:jc w:val="right"/>
        <w:textAlignment w:val="auto"/>
        <w:rPr>
          <w:rFonts w:hint="default" w:ascii="Times New Roman" w:hAnsi="Times New Roman" w:cs="Times New Roman"/>
          <w:b/>
          <w:bCs/>
        </w:rPr>
      </w:pPr>
      <w:bookmarkStart w:id="47" w:name="_Toc15357"/>
      <w:bookmarkStart w:id="48" w:name="_Toc15377204"/>
      <w:r>
        <w:rPr>
          <w:rFonts w:hint="default" w:ascii="Times New Roman" w:hAnsi="Times New Roman" w:eastAsia="黑体" w:cs="Times New Roman"/>
          <w:b/>
          <w:bCs/>
          <w:color w:val="000000"/>
        </w:rPr>
        <w:t xml:space="preserve">第二部分 </w:t>
      </w:r>
      <w:r>
        <w:rPr>
          <w:rStyle w:val="25"/>
          <w:rFonts w:hint="eastAsia" w:ascii="黑体" w:hAnsi="黑体" w:eastAsia="黑体" w:cs="黑体"/>
          <w:b/>
          <w:bCs/>
        </w:rPr>
        <w:t>20</w:t>
      </w:r>
      <w:r>
        <w:rPr>
          <w:rStyle w:val="25"/>
          <w:rFonts w:hint="eastAsia" w:ascii="黑体" w:hAnsi="黑体" w:eastAsia="黑体" w:cs="黑体"/>
          <w:b/>
          <w:bCs/>
          <w:lang w:val="en-US" w:eastAsia="zh-CN"/>
        </w:rPr>
        <w:t>20</w:t>
      </w:r>
      <w:r>
        <w:rPr>
          <w:rStyle w:val="25"/>
          <w:rFonts w:hint="default" w:ascii="Times New Roman" w:hAnsi="Times New Roman" w:eastAsia="黑体" w:cs="Times New Roman"/>
          <w:b/>
          <w:bCs/>
        </w:rPr>
        <w:t>年度</w:t>
      </w:r>
      <w:r>
        <w:rPr>
          <w:rStyle w:val="25"/>
          <w:rFonts w:hint="eastAsia" w:eastAsia="黑体" w:cs="Times New Roman"/>
          <w:b/>
          <w:bCs/>
          <w:lang w:eastAsia="zh-CN"/>
        </w:rPr>
        <w:t>单位</w:t>
      </w:r>
      <w:r>
        <w:rPr>
          <w:rStyle w:val="25"/>
          <w:rFonts w:hint="default" w:ascii="Times New Roman" w:hAnsi="Times New Roman" w:eastAsia="黑体" w:cs="Times New Roman"/>
          <w:b/>
          <w:bCs/>
        </w:rPr>
        <w:t>决算情况说明</w:t>
      </w:r>
      <w:bookmarkEnd w:id="47"/>
      <w:bookmarkEnd w:id="48"/>
    </w:p>
    <w:p>
      <w:pPr>
        <w:pStyle w:val="24"/>
        <w:pageBreakBefore w:val="0"/>
        <w:widowControl w:val="0"/>
        <w:numPr>
          <w:ilvl w:val="0"/>
          <w:numId w:val="2"/>
        </w:numPr>
        <w:kinsoku/>
        <w:wordWrap/>
        <w:overflowPunct/>
        <w:topLinePunct w:val="0"/>
        <w:autoSpaceDE/>
        <w:autoSpaceDN/>
        <w:bidi w:val="0"/>
        <w:adjustRightInd w:val="0"/>
        <w:snapToGrid w:val="0"/>
        <w:spacing w:beforeAutospacing="0" w:line="600" w:lineRule="exact"/>
        <w:ind w:firstLineChars="0"/>
        <w:textAlignment w:val="auto"/>
        <w:outlineLvl w:val="1"/>
        <w:rPr>
          <w:rStyle w:val="26"/>
          <w:rFonts w:hint="default" w:ascii="Times New Roman" w:hAnsi="Times New Roman" w:eastAsia="黑体" w:cs="Times New Roman"/>
          <w:b/>
          <w:bCs/>
        </w:rPr>
      </w:pPr>
      <w:bookmarkStart w:id="49" w:name="_Toc15377205"/>
      <w:bookmarkStart w:id="50" w:name="_Toc19275"/>
      <w:r>
        <w:rPr>
          <w:rFonts w:hint="default" w:ascii="Times New Roman" w:hAnsi="Times New Roman" w:eastAsia="黑体" w:cs="Times New Roman"/>
          <w:b/>
          <w:bCs/>
          <w:color w:val="000000"/>
          <w:sz w:val="32"/>
          <w:szCs w:val="32"/>
        </w:rPr>
        <w:t>收</w:t>
      </w:r>
      <w:r>
        <w:rPr>
          <w:rStyle w:val="26"/>
          <w:rFonts w:hint="default" w:ascii="Times New Roman" w:hAnsi="Times New Roman" w:eastAsia="黑体" w:cs="Times New Roman"/>
          <w:b/>
          <w:bCs/>
        </w:rPr>
        <w:t>入支出决算总体情况说明</w:t>
      </w:r>
      <w:bookmarkEnd w:id="49"/>
      <w:bookmarkEnd w:id="50"/>
    </w:p>
    <w:p>
      <w:pPr>
        <w:pageBreakBefore w:val="0"/>
        <w:widowControl w:val="0"/>
        <w:kinsoku/>
        <w:wordWrap/>
        <w:overflowPunct/>
        <w:topLinePunct w:val="0"/>
        <w:autoSpaceDE/>
        <w:autoSpaceDN/>
        <w:bidi w:val="0"/>
        <w:adjustRightInd w:val="0"/>
        <w:snapToGrid w:val="0"/>
        <w:spacing w:after="211" w:afterLines="67" w:afterAutospacing="0" w:line="600" w:lineRule="exact"/>
        <w:ind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2020年度收、支总计为16269.90万元，与2019年相比，收、支总计各减少4206.51万元，下降20.54%。主要变动原因是</w:t>
      </w:r>
      <w:r>
        <w:rPr>
          <w:rFonts w:hint="eastAsia" w:ascii="仿宋" w:hAnsi="仿宋" w:eastAsia="仿宋" w:cs="仿宋"/>
          <w:b/>
          <w:bCs/>
          <w:color w:val="auto"/>
          <w:sz w:val="32"/>
          <w:szCs w:val="32"/>
          <w:lang w:val="en-US" w:eastAsia="zh-CN"/>
        </w:rPr>
        <w:t>2020年安排的一次性项目经费较2019年减少且</w:t>
      </w:r>
      <w:r>
        <w:rPr>
          <w:rFonts w:hint="eastAsia" w:ascii="仿宋" w:hAnsi="仿宋" w:eastAsia="仿宋" w:cs="仿宋"/>
          <w:b/>
          <w:bCs/>
          <w:sz w:val="32"/>
          <w:szCs w:val="32"/>
          <w:lang w:eastAsia="zh-CN"/>
        </w:rPr>
        <w:t>压减了一般性支出预算</w:t>
      </w:r>
      <w:r>
        <w:rPr>
          <w:rFonts w:hint="eastAsia" w:ascii="仿宋" w:hAnsi="仿宋" w:eastAsia="仿宋" w:cs="仿宋"/>
          <w:b/>
          <w:bCs/>
          <w:sz w:val="32"/>
          <w:szCs w:val="32"/>
          <w:lang w:val="en-US" w:eastAsia="zh-CN"/>
        </w:rPr>
        <w:t>。</w:t>
      </w:r>
    </w:p>
    <w:p>
      <w:pPr>
        <w:keepNext w:val="0"/>
        <w:keepLines w:val="0"/>
        <w:widowControl/>
        <w:suppressLineNumbers w:val="0"/>
        <w:jc w:val="center"/>
        <w:rPr>
          <w:rFonts w:hint="default" w:ascii="Times New Roman" w:hAnsi="Times New Roman" w:eastAsia="仿宋_GB2312" w:cs="Times New Roman"/>
          <w:b/>
          <w:bCs/>
          <w:sz w:val="32"/>
          <w:szCs w:val="32"/>
          <w:lang w:val="en-US" w:eastAsia="zh-CN"/>
        </w:rPr>
      </w:pPr>
      <w:r>
        <w:rPr>
          <w:rFonts w:ascii="宋体" w:hAnsi="宋体" w:eastAsia="宋体" w:cs="宋体"/>
          <w:kern w:val="0"/>
          <w:sz w:val="24"/>
          <w:szCs w:val="24"/>
          <w:lang w:val="en-US" w:eastAsia="zh-CN" w:bidi="ar"/>
        </w:rPr>
        <w:drawing>
          <wp:inline distT="0" distB="0" distL="114300" distR="114300">
            <wp:extent cx="3508375" cy="2880360"/>
            <wp:effectExtent l="0" t="0" r="15875" b="1524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1"/>
                    <a:stretch>
                      <a:fillRect/>
                    </a:stretch>
                  </pic:blipFill>
                  <pic:spPr>
                    <a:xfrm>
                      <a:off x="0" y="0"/>
                      <a:ext cx="3508375" cy="2880360"/>
                    </a:xfrm>
                    <a:prstGeom prst="rect">
                      <a:avLst/>
                    </a:prstGeom>
                    <a:noFill/>
                    <a:ln w="9525">
                      <a:noFill/>
                    </a:ln>
                  </pic:spPr>
                </pic:pic>
              </a:graphicData>
            </a:graphic>
          </wp:inline>
        </w:drawing>
      </w:r>
    </w:p>
    <w:p>
      <w:pPr>
        <w:pStyle w:val="24"/>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firstLineChars="0"/>
        <w:textAlignment w:val="auto"/>
        <w:outlineLvl w:val="1"/>
        <w:rPr>
          <w:rStyle w:val="26"/>
          <w:rFonts w:hint="default" w:ascii="Times New Roman" w:hAnsi="Times New Roman" w:eastAsia="黑体" w:cs="Times New Roman"/>
          <w:b/>
          <w:bCs/>
        </w:rPr>
      </w:pPr>
      <w:bookmarkStart w:id="51" w:name="_Toc12133"/>
      <w:bookmarkStart w:id="52" w:name="_Toc15377206"/>
      <w:r>
        <w:rPr>
          <w:rFonts w:hint="default" w:ascii="Times New Roman" w:hAnsi="Times New Roman" w:eastAsia="黑体" w:cs="Times New Roman"/>
          <w:b/>
          <w:bCs/>
          <w:color w:val="000000"/>
          <w:sz w:val="32"/>
          <w:szCs w:val="32"/>
        </w:rPr>
        <w:t>收</w:t>
      </w:r>
      <w:r>
        <w:rPr>
          <w:rStyle w:val="26"/>
          <w:rFonts w:hint="default" w:ascii="Times New Roman" w:hAnsi="Times New Roman" w:eastAsia="黑体" w:cs="Times New Roman"/>
          <w:b/>
          <w:bCs/>
        </w:rPr>
        <w:t>入决算情况说明</w:t>
      </w:r>
      <w:bookmarkEnd w:id="51"/>
      <w:bookmarkEnd w:id="52"/>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rPr>
          <w:rFonts w:hint="default" w:ascii="Times New Roman" w:hAnsi="Times New Roman" w:eastAsia="仿宋_GB2312" w:cs="Times New Roman"/>
          <w:b/>
          <w:bCs/>
          <w:color w:val="auto"/>
          <w:sz w:val="32"/>
          <w:szCs w:val="32"/>
          <w:lang w:val="en-US" w:eastAsia="zh-CN"/>
        </w:rPr>
      </w:pPr>
      <w:r>
        <w:rPr>
          <w:rFonts w:hint="eastAsia" w:ascii="仿宋" w:hAnsi="仿宋" w:eastAsia="仿宋" w:cs="仿宋"/>
          <w:b/>
          <w:bCs/>
          <w:color w:val="auto"/>
          <w:sz w:val="32"/>
          <w:szCs w:val="32"/>
          <w:lang w:val="en-US" w:eastAsia="zh-CN"/>
        </w:rPr>
        <w:t>2020年本年收入合计</w:t>
      </w:r>
      <w:r>
        <w:rPr>
          <w:rFonts w:hint="eastAsia" w:ascii="仿宋" w:hAnsi="仿宋" w:eastAsia="仿宋" w:cs="仿宋"/>
          <w:b/>
          <w:bCs/>
          <w:sz w:val="32"/>
          <w:szCs w:val="32"/>
          <w:lang w:val="en-US" w:eastAsia="zh-CN"/>
        </w:rPr>
        <w:t>16269.90</w:t>
      </w:r>
      <w:r>
        <w:rPr>
          <w:rFonts w:hint="eastAsia" w:ascii="仿宋" w:hAnsi="仿宋" w:eastAsia="仿宋" w:cs="仿宋"/>
          <w:b/>
          <w:bCs/>
          <w:color w:val="auto"/>
          <w:sz w:val="32"/>
          <w:szCs w:val="32"/>
          <w:lang w:val="en-US" w:eastAsia="zh-CN"/>
        </w:rPr>
        <w:t>万元，其中：一般公共预算拨款收入</w:t>
      </w:r>
      <w:r>
        <w:rPr>
          <w:rFonts w:hint="eastAsia" w:ascii="仿宋" w:hAnsi="仿宋" w:eastAsia="仿宋" w:cs="仿宋"/>
          <w:b/>
          <w:bCs/>
          <w:sz w:val="32"/>
          <w:szCs w:val="32"/>
          <w:lang w:val="en-US" w:eastAsia="zh-CN"/>
        </w:rPr>
        <w:t>16269.90</w:t>
      </w:r>
      <w:r>
        <w:rPr>
          <w:rFonts w:hint="eastAsia" w:ascii="仿宋" w:hAnsi="仿宋" w:eastAsia="仿宋" w:cs="仿宋"/>
          <w:b/>
          <w:bCs/>
          <w:color w:val="auto"/>
          <w:sz w:val="32"/>
          <w:szCs w:val="32"/>
          <w:lang w:val="en-US" w:eastAsia="zh-CN"/>
        </w:rPr>
        <w:t>万元，占100%；事业收入、其他收入、政府性基金预算财政拨款收入、上级补助收入、经营收入、附属单位上缴收入均为零。</w:t>
      </w:r>
    </w:p>
    <w:p>
      <w:pPr>
        <w:keepNext w:val="0"/>
        <w:keepLines w:val="0"/>
        <w:widowControl/>
        <w:suppressLineNumbers w:val="0"/>
        <w:jc w:val="center"/>
        <w:rPr>
          <w:rFonts w:hint="default" w:ascii="Times New Roman" w:hAnsi="Times New Roman" w:eastAsia="宋体" w:cs="Times New Roman"/>
          <w:kern w:val="0"/>
          <w:sz w:val="32"/>
          <w:szCs w:val="32"/>
          <w:lang w:val="en-US" w:eastAsia="zh-CN" w:bidi="ar"/>
        </w:rPr>
      </w:pPr>
      <w:r>
        <w:rPr>
          <w:rFonts w:ascii="宋体" w:hAnsi="宋体" w:eastAsia="宋体" w:cs="宋体"/>
          <w:kern w:val="0"/>
          <w:sz w:val="24"/>
          <w:szCs w:val="24"/>
          <w:lang w:val="en-US" w:eastAsia="zh-CN" w:bidi="ar"/>
        </w:rPr>
        <w:drawing>
          <wp:inline distT="0" distB="0" distL="114300" distR="114300">
            <wp:extent cx="3586480" cy="3098165"/>
            <wp:effectExtent l="0" t="0" r="13970" b="6985"/>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2"/>
                    <a:stretch>
                      <a:fillRect/>
                    </a:stretch>
                  </pic:blipFill>
                  <pic:spPr>
                    <a:xfrm>
                      <a:off x="0" y="0"/>
                      <a:ext cx="3586480" cy="3098165"/>
                    </a:xfrm>
                    <a:prstGeom prst="rect">
                      <a:avLst/>
                    </a:prstGeom>
                    <a:noFill/>
                    <a:ln w="9525">
                      <a:noFill/>
                    </a:ln>
                  </pic:spPr>
                </pic:pic>
              </a:graphicData>
            </a:graphic>
          </wp:inline>
        </w:drawing>
      </w:r>
    </w:p>
    <w:p>
      <w:pPr>
        <w:pStyle w:val="24"/>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firstLineChars="0"/>
        <w:textAlignment w:val="auto"/>
        <w:outlineLvl w:val="1"/>
        <w:rPr>
          <w:rStyle w:val="26"/>
          <w:rFonts w:hint="default" w:ascii="Times New Roman" w:hAnsi="Times New Roman" w:eastAsia="黑体" w:cs="Times New Roman"/>
          <w:b/>
          <w:bCs/>
        </w:rPr>
      </w:pPr>
      <w:bookmarkStart w:id="53" w:name="_Toc30520"/>
      <w:bookmarkStart w:id="54" w:name="_Toc15377207"/>
      <w:r>
        <w:rPr>
          <w:rFonts w:hint="default" w:ascii="Times New Roman" w:hAnsi="Times New Roman" w:eastAsia="黑体" w:cs="Times New Roman"/>
          <w:b/>
          <w:bCs/>
          <w:color w:val="000000"/>
          <w:sz w:val="32"/>
          <w:szCs w:val="32"/>
        </w:rPr>
        <w:t>支</w:t>
      </w:r>
      <w:r>
        <w:rPr>
          <w:rStyle w:val="26"/>
          <w:rFonts w:hint="default" w:ascii="Times New Roman" w:hAnsi="Times New Roman" w:eastAsia="黑体" w:cs="Times New Roman"/>
          <w:b/>
          <w:bCs/>
        </w:rPr>
        <w:t>出决算情况说明</w:t>
      </w:r>
      <w:bookmarkEnd w:id="53"/>
      <w:bookmarkEnd w:id="54"/>
    </w:p>
    <w:p>
      <w:pPr>
        <w:keepNext w:val="0"/>
        <w:keepLines w:val="0"/>
        <w:pageBreakBefore w:val="0"/>
        <w:widowControl w:val="0"/>
        <w:kinsoku/>
        <w:wordWrap/>
        <w:overflowPunct/>
        <w:topLinePunct w:val="0"/>
        <w:autoSpaceDE/>
        <w:autoSpaceDN/>
        <w:bidi w:val="0"/>
        <w:adjustRightInd w:val="0"/>
        <w:snapToGrid w:val="0"/>
        <w:spacing w:after="315" w:afterLines="100" w:afterAutospacing="0" w:line="600" w:lineRule="exact"/>
        <w:ind w:firstLine="640"/>
        <w:textAlignment w:val="auto"/>
        <w:rPr>
          <w:rFonts w:hint="default"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2020年本年支出合计</w:t>
      </w:r>
      <w:r>
        <w:rPr>
          <w:rFonts w:hint="eastAsia" w:ascii="仿宋" w:hAnsi="仿宋" w:eastAsia="仿宋" w:cs="仿宋"/>
          <w:b/>
          <w:bCs/>
          <w:sz w:val="32"/>
          <w:szCs w:val="32"/>
          <w:lang w:val="en-US" w:eastAsia="zh-CN"/>
        </w:rPr>
        <w:t>16269.90</w:t>
      </w:r>
      <w:r>
        <w:rPr>
          <w:rFonts w:hint="eastAsia" w:ascii="仿宋" w:hAnsi="仿宋" w:eastAsia="仿宋" w:cs="仿宋"/>
          <w:b/>
          <w:bCs/>
          <w:color w:val="auto"/>
          <w:sz w:val="32"/>
          <w:szCs w:val="32"/>
          <w:lang w:val="en-US" w:eastAsia="zh-CN"/>
        </w:rPr>
        <w:t>万元，其中：基本支出11061.72万元，占67.99%；项目支出5208.19万元，占32.01%；上缴上级支出、经营支出、对附属单位补助支出均为零。</w:t>
      </w:r>
    </w:p>
    <w:p>
      <w:pPr>
        <w:keepNext w:val="0"/>
        <w:keepLines w:val="0"/>
        <w:widowControl/>
        <w:suppressLineNumbers w:val="0"/>
        <w:jc w:val="center"/>
      </w:pPr>
      <w:bookmarkStart w:id="55" w:name="_Toc15377208"/>
      <w:r>
        <w:rPr>
          <w:rFonts w:ascii="宋体" w:hAnsi="宋体" w:eastAsia="宋体" w:cs="宋体"/>
          <w:kern w:val="0"/>
          <w:sz w:val="24"/>
          <w:szCs w:val="24"/>
          <w:lang w:val="en-US" w:eastAsia="zh-CN" w:bidi="ar"/>
        </w:rPr>
        <w:drawing>
          <wp:inline distT="0" distB="0" distL="114300" distR="114300">
            <wp:extent cx="3463925" cy="3043555"/>
            <wp:effectExtent l="0" t="0" r="3175" b="4445"/>
            <wp:docPr id="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6"/>
                    <pic:cNvPicPr>
                      <a:picLocks noChangeAspect="1"/>
                    </pic:cNvPicPr>
                  </pic:nvPicPr>
                  <pic:blipFill>
                    <a:blip r:embed="rId13"/>
                    <a:stretch>
                      <a:fillRect/>
                    </a:stretch>
                  </pic:blipFill>
                  <pic:spPr>
                    <a:xfrm>
                      <a:off x="0" y="0"/>
                      <a:ext cx="3463925" cy="3043555"/>
                    </a:xfrm>
                    <a:prstGeom prst="rect">
                      <a:avLst/>
                    </a:prstGeom>
                    <a:noFill/>
                    <a:ln w="9525">
                      <a:noFill/>
                    </a:ln>
                  </pic:spPr>
                </pic:pic>
              </a:graphicData>
            </a:graphic>
          </wp:inline>
        </w:drawing>
      </w:r>
    </w:p>
    <w:p>
      <w:pPr>
        <w:keepNext w:val="0"/>
        <w:keepLines w:val="0"/>
        <w:widowControl/>
        <w:suppressLineNumbers w:val="0"/>
        <w:jc w:val="center"/>
        <w:rPr>
          <w:rFonts w:hint="default" w:ascii="Times New Roman" w:hAnsi="Times New Roman" w:eastAsia="黑体" w:cs="Times New Roman"/>
          <w:b/>
          <w:bCs/>
          <w:color w:val="000000"/>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outlineLvl w:val="1"/>
        <w:rPr>
          <w:rStyle w:val="26"/>
          <w:rFonts w:hint="default" w:ascii="Times New Roman" w:hAnsi="Times New Roman" w:eastAsia="黑体" w:cs="Times New Roman"/>
          <w:b/>
          <w:bCs/>
        </w:rPr>
      </w:pPr>
      <w:bookmarkStart w:id="56" w:name="_Toc1225"/>
      <w:r>
        <w:rPr>
          <w:rFonts w:hint="default" w:ascii="Times New Roman" w:hAnsi="Times New Roman" w:eastAsia="黑体" w:cs="Times New Roman"/>
          <w:b/>
          <w:bCs/>
          <w:color w:val="000000"/>
          <w:sz w:val="32"/>
          <w:szCs w:val="32"/>
        </w:rPr>
        <w:t>四、财</w:t>
      </w:r>
      <w:r>
        <w:rPr>
          <w:rStyle w:val="26"/>
          <w:rFonts w:hint="default" w:ascii="Times New Roman" w:hAnsi="Times New Roman" w:eastAsia="黑体" w:cs="Times New Roman"/>
          <w:b/>
          <w:bCs/>
        </w:rPr>
        <w:t>政拨款收入支出决算总体情况说明</w:t>
      </w:r>
      <w:bookmarkEnd w:id="55"/>
      <w:bookmarkEnd w:id="56"/>
    </w:p>
    <w:p>
      <w:pPr>
        <w:keepNext w:val="0"/>
        <w:keepLines w:val="0"/>
        <w:pageBreakBefore w:val="0"/>
        <w:widowControl w:val="0"/>
        <w:kinsoku/>
        <w:wordWrap/>
        <w:overflowPunct/>
        <w:topLinePunct w:val="0"/>
        <w:autoSpaceDE/>
        <w:autoSpaceDN/>
        <w:bidi w:val="0"/>
        <w:adjustRightInd w:val="0"/>
        <w:snapToGrid w:val="0"/>
        <w:spacing w:after="315" w:afterLines="100" w:afterAutospacing="0" w:line="600" w:lineRule="exact"/>
        <w:ind w:firstLine="64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2020年财政拨款收、支总计</w:t>
      </w:r>
      <w:r>
        <w:rPr>
          <w:rFonts w:hint="eastAsia" w:ascii="仿宋" w:hAnsi="仿宋" w:eastAsia="仿宋" w:cs="仿宋"/>
          <w:b/>
          <w:bCs/>
          <w:sz w:val="32"/>
          <w:szCs w:val="32"/>
          <w:lang w:val="en-US" w:eastAsia="zh-CN"/>
        </w:rPr>
        <w:t>16269.90</w:t>
      </w:r>
      <w:r>
        <w:rPr>
          <w:rFonts w:hint="eastAsia" w:ascii="仿宋" w:hAnsi="仿宋" w:eastAsia="仿宋" w:cs="仿宋"/>
          <w:b/>
          <w:bCs/>
          <w:color w:val="auto"/>
          <w:sz w:val="32"/>
          <w:szCs w:val="32"/>
          <w:lang w:val="en-US" w:eastAsia="zh-CN"/>
        </w:rPr>
        <w:t>万元。与2019年相比，财政拨款收、支总计各减少</w:t>
      </w:r>
      <w:r>
        <w:rPr>
          <w:rFonts w:hint="eastAsia" w:ascii="仿宋" w:hAnsi="仿宋" w:eastAsia="仿宋" w:cs="仿宋"/>
          <w:b/>
          <w:bCs/>
          <w:sz w:val="32"/>
          <w:szCs w:val="32"/>
          <w:lang w:val="en-US" w:eastAsia="zh-CN"/>
        </w:rPr>
        <w:t>4206.51万元，下降20.54%</w:t>
      </w:r>
      <w:r>
        <w:rPr>
          <w:rFonts w:hint="eastAsia" w:ascii="仿宋" w:hAnsi="仿宋" w:eastAsia="仿宋" w:cs="仿宋"/>
          <w:b/>
          <w:bCs/>
          <w:color w:val="auto"/>
          <w:sz w:val="32"/>
          <w:szCs w:val="32"/>
          <w:lang w:val="en-US" w:eastAsia="zh-CN"/>
        </w:rPr>
        <w:t>。</w:t>
      </w:r>
      <w:r>
        <w:rPr>
          <w:rFonts w:hint="eastAsia" w:ascii="仿宋" w:hAnsi="仿宋" w:eastAsia="仿宋" w:cs="仿宋"/>
          <w:b/>
          <w:bCs/>
          <w:sz w:val="32"/>
          <w:szCs w:val="32"/>
          <w:lang w:val="en-US" w:eastAsia="zh-CN"/>
        </w:rPr>
        <w:t>主要变动原因是</w:t>
      </w:r>
      <w:r>
        <w:rPr>
          <w:rFonts w:hint="eastAsia" w:ascii="仿宋" w:hAnsi="仿宋" w:eastAsia="仿宋" w:cs="仿宋"/>
          <w:b/>
          <w:bCs/>
          <w:color w:val="auto"/>
          <w:sz w:val="32"/>
          <w:szCs w:val="32"/>
          <w:lang w:val="en-US" w:eastAsia="zh-CN"/>
        </w:rPr>
        <w:t>2020年安排的一次性项目经费较2019年减少且</w:t>
      </w:r>
      <w:r>
        <w:rPr>
          <w:rFonts w:hint="eastAsia" w:ascii="仿宋" w:hAnsi="仿宋" w:eastAsia="仿宋" w:cs="仿宋"/>
          <w:b/>
          <w:bCs/>
          <w:sz w:val="32"/>
          <w:szCs w:val="32"/>
          <w:lang w:eastAsia="zh-CN"/>
        </w:rPr>
        <w:t>压减了一般性支出预算</w:t>
      </w:r>
      <w:r>
        <w:rPr>
          <w:rFonts w:hint="eastAsia" w:ascii="仿宋" w:hAnsi="仿宋" w:eastAsia="仿宋" w:cs="仿宋"/>
          <w:b/>
          <w:bCs/>
          <w:color w:val="auto"/>
          <w:sz w:val="32"/>
          <w:szCs w:val="32"/>
          <w:lang w:val="en-US" w:eastAsia="zh-CN"/>
        </w:rPr>
        <w:t>。</w:t>
      </w:r>
    </w:p>
    <w:p>
      <w:pPr>
        <w:keepNext w:val="0"/>
        <w:keepLines w:val="0"/>
        <w:widowControl/>
        <w:suppressLineNumbers w:val="0"/>
        <w:jc w:val="center"/>
        <w:rPr>
          <w:rFonts w:hint="default" w:ascii="Times New Roman" w:hAnsi="Times New Roman" w:eastAsia="仿宋" w:cs="Times New Roman"/>
          <w:b/>
          <w:bCs/>
          <w:color w:val="000000" w:themeColor="text1"/>
          <w:sz w:val="32"/>
          <w:szCs w:val="32"/>
          <w:lang w:eastAsia="zh-CN"/>
          <w14:textFill>
            <w14:solidFill>
              <w14:schemeClr w14:val="tx1"/>
            </w14:solidFill>
          </w14:textFill>
        </w:rPr>
      </w:pPr>
      <w:r>
        <w:drawing>
          <wp:inline distT="0" distB="0" distL="114300" distR="114300">
            <wp:extent cx="3546475" cy="2773680"/>
            <wp:effectExtent l="0" t="0" r="15875" b="762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4"/>
                    <a:stretch>
                      <a:fillRect/>
                    </a:stretch>
                  </pic:blipFill>
                  <pic:spPr>
                    <a:xfrm>
                      <a:off x="0" y="0"/>
                      <a:ext cx="3546475" cy="27736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outlineLvl w:val="1"/>
        <w:rPr>
          <w:rStyle w:val="26"/>
          <w:rFonts w:hint="default" w:ascii="Times New Roman" w:hAnsi="Times New Roman" w:eastAsia="黑体" w:cs="Times New Roman"/>
          <w:b/>
          <w:bCs/>
        </w:rPr>
      </w:pPr>
      <w:bookmarkStart w:id="57" w:name="_Toc10406"/>
      <w:bookmarkStart w:id="58" w:name="_Toc15377209"/>
      <w:r>
        <w:rPr>
          <w:rFonts w:hint="default" w:ascii="Times New Roman" w:hAnsi="Times New Roman" w:eastAsia="黑体" w:cs="Times New Roman"/>
          <w:b/>
          <w:bCs/>
          <w:color w:val="000000"/>
          <w:sz w:val="32"/>
          <w:szCs w:val="32"/>
        </w:rPr>
        <w:t>五、一</w:t>
      </w:r>
      <w:r>
        <w:rPr>
          <w:rStyle w:val="26"/>
          <w:rFonts w:hint="default" w:ascii="Times New Roman" w:hAnsi="Times New Roman" w:eastAsia="黑体" w:cs="Times New Roman"/>
          <w:b/>
          <w:bCs/>
        </w:rPr>
        <w:t>般公共预算财政拨款支出决算情况说明</w:t>
      </w:r>
      <w:bookmarkEnd w:id="57"/>
      <w:bookmarkEnd w:id="58"/>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outlineLvl w:val="2"/>
        <w:rPr>
          <w:rFonts w:hint="eastAsia" w:ascii="楷体" w:hAnsi="楷体" w:eastAsia="楷体" w:cs="楷体"/>
          <w:b/>
          <w:bCs/>
          <w:color w:val="000000"/>
          <w:sz w:val="32"/>
          <w:szCs w:val="32"/>
        </w:rPr>
      </w:pPr>
      <w:bookmarkStart w:id="59" w:name="_Toc15377210"/>
      <w:r>
        <w:rPr>
          <w:rFonts w:hint="eastAsia" w:ascii="楷体" w:hAnsi="楷体" w:eastAsia="楷体" w:cs="楷体"/>
          <w:b/>
          <w:bCs/>
          <w:color w:val="000000"/>
          <w:sz w:val="32"/>
          <w:szCs w:val="32"/>
        </w:rPr>
        <w:t>（一）一般公共预算财政拨款支出决算总体情况</w:t>
      </w:r>
      <w:bookmarkEnd w:id="59"/>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2020年一般公共预算财政拨款支出</w:t>
      </w:r>
      <w:r>
        <w:rPr>
          <w:rFonts w:hint="eastAsia" w:ascii="仿宋" w:hAnsi="仿宋" w:eastAsia="仿宋" w:cs="仿宋"/>
          <w:b/>
          <w:bCs/>
          <w:sz w:val="32"/>
          <w:szCs w:val="32"/>
          <w:lang w:val="en-US" w:eastAsia="zh-CN"/>
        </w:rPr>
        <w:t>16269.90</w:t>
      </w:r>
      <w:r>
        <w:rPr>
          <w:rFonts w:hint="eastAsia" w:ascii="仿宋" w:hAnsi="仿宋" w:eastAsia="仿宋" w:cs="仿宋"/>
          <w:b/>
          <w:bCs/>
          <w:color w:val="auto"/>
          <w:sz w:val="32"/>
          <w:szCs w:val="32"/>
          <w:lang w:val="en-US" w:eastAsia="zh-CN"/>
        </w:rPr>
        <w:t>万元，占本年支出合计的100%。与2019年相比，一般公共预算财政拨款减少</w:t>
      </w:r>
      <w:r>
        <w:rPr>
          <w:rFonts w:hint="eastAsia" w:ascii="仿宋" w:hAnsi="仿宋" w:eastAsia="仿宋" w:cs="仿宋"/>
          <w:b/>
          <w:bCs/>
          <w:sz w:val="32"/>
          <w:szCs w:val="32"/>
          <w:lang w:val="en-US" w:eastAsia="zh-CN"/>
        </w:rPr>
        <w:t>4206.51万元，下降20.54%</w:t>
      </w:r>
      <w:r>
        <w:rPr>
          <w:rFonts w:hint="eastAsia" w:ascii="仿宋" w:hAnsi="仿宋" w:eastAsia="仿宋" w:cs="仿宋"/>
          <w:b/>
          <w:bCs/>
          <w:color w:val="auto"/>
          <w:sz w:val="32"/>
          <w:szCs w:val="32"/>
          <w:lang w:val="en-US" w:eastAsia="zh-CN"/>
        </w:rPr>
        <w:t>。</w:t>
      </w:r>
      <w:r>
        <w:rPr>
          <w:rFonts w:hint="eastAsia" w:ascii="仿宋" w:hAnsi="仿宋" w:eastAsia="仿宋" w:cs="仿宋"/>
          <w:b/>
          <w:bCs/>
          <w:sz w:val="32"/>
          <w:szCs w:val="32"/>
          <w:lang w:val="en-US" w:eastAsia="zh-CN"/>
        </w:rPr>
        <w:t>主要变动原因是</w:t>
      </w:r>
      <w:r>
        <w:rPr>
          <w:rFonts w:hint="eastAsia" w:ascii="仿宋" w:hAnsi="仿宋" w:eastAsia="仿宋" w:cs="仿宋"/>
          <w:b/>
          <w:bCs/>
          <w:color w:val="auto"/>
          <w:sz w:val="32"/>
          <w:szCs w:val="32"/>
          <w:lang w:val="en-US" w:eastAsia="zh-CN"/>
        </w:rPr>
        <w:t>2020年安排的一次性项目经费较2019年减少且</w:t>
      </w:r>
      <w:r>
        <w:rPr>
          <w:rFonts w:hint="eastAsia" w:ascii="仿宋" w:hAnsi="仿宋" w:eastAsia="仿宋" w:cs="仿宋"/>
          <w:b/>
          <w:bCs/>
          <w:sz w:val="32"/>
          <w:szCs w:val="32"/>
          <w:lang w:eastAsia="zh-CN"/>
        </w:rPr>
        <w:t>压减了一般性支出预算</w:t>
      </w:r>
      <w:r>
        <w:rPr>
          <w:rFonts w:hint="eastAsia" w:ascii="仿宋" w:hAnsi="仿宋" w:eastAsia="仿宋" w:cs="仿宋"/>
          <w:b/>
          <w:bCs/>
          <w:sz w:val="32"/>
          <w:szCs w:val="32"/>
          <w:lang w:val="en-US" w:eastAsia="zh-CN"/>
        </w:rPr>
        <w:t>。</w:t>
      </w:r>
    </w:p>
    <w:p>
      <w:pPr>
        <w:keepNext w:val="0"/>
        <w:keepLines w:val="0"/>
        <w:widowControl/>
        <w:suppressLineNumbers w:val="0"/>
        <w:jc w:val="center"/>
        <w:rPr>
          <w:rFonts w:ascii="宋体" w:hAnsi="宋体" w:eastAsia="宋体" w:cs="宋体"/>
          <w:kern w:val="0"/>
          <w:sz w:val="24"/>
          <w:szCs w:val="24"/>
          <w:lang w:val="en-US" w:eastAsia="zh-CN" w:bidi="ar"/>
        </w:rPr>
      </w:pPr>
      <w:bookmarkStart w:id="60" w:name="_Toc15377211"/>
      <w:r>
        <w:rPr>
          <w:rFonts w:ascii="宋体" w:hAnsi="宋体" w:eastAsia="宋体" w:cs="宋体"/>
          <w:kern w:val="0"/>
          <w:sz w:val="24"/>
          <w:szCs w:val="24"/>
          <w:lang w:val="en-US" w:eastAsia="zh-CN" w:bidi="ar"/>
        </w:rPr>
        <w:drawing>
          <wp:inline distT="0" distB="0" distL="114300" distR="114300">
            <wp:extent cx="3516630" cy="2813685"/>
            <wp:effectExtent l="0" t="0" r="7620" b="5715"/>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15"/>
                    <a:stretch>
                      <a:fillRect/>
                    </a:stretch>
                  </pic:blipFill>
                  <pic:spPr>
                    <a:xfrm>
                      <a:off x="0" y="0"/>
                      <a:ext cx="3516630" cy="2813685"/>
                    </a:xfrm>
                    <a:prstGeom prst="rect">
                      <a:avLst/>
                    </a:prstGeom>
                    <a:noFill/>
                    <a:ln w="9525">
                      <a:noFill/>
                    </a:ln>
                  </pic:spPr>
                </pic:pic>
              </a:graphicData>
            </a:graphic>
          </wp:inline>
        </w:drawing>
      </w:r>
    </w:p>
    <w:p>
      <w:pPr>
        <w:keepNext w:val="0"/>
        <w:keepLines w:val="0"/>
        <w:widowControl/>
        <w:suppressLineNumbers w:val="0"/>
        <w:jc w:val="center"/>
        <w:rPr>
          <w:rFonts w:hint="default" w:ascii="宋体" w:hAnsi="宋体" w:eastAsia="宋体" w:cs="宋体"/>
          <w:kern w:val="0"/>
          <w:sz w:val="24"/>
          <w:szCs w:val="24"/>
          <w:lang w:val="en-US" w:eastAsia="zh-CN" w:bidi="ar"/>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outlineLvl w:val="2"/>
        <w:rPr>
          <w:rFonts w:hint="eastAsia" w:ascii="楷体" w:hAnsi="楷体" w:eastAsia="楷体" w:cs="楷体"/>
          <w:b/>
          <w:bCs/>
          <w:color w:val="000000"/>
          <w:sz w:val="32"/>
          <w:szCs w:val="32"/>
        </w:rPr>
      </w:pPr>
      <w:r>
        <w:rPr>
          <w:rFonts w:hint="eastAsia" w:ascii="楷体" w:hAnsi="楷体" w:eastAsia="楷体" w:cs="楷体"/>
          <w:b/>
          <w:bCs/>
          <w:color w:val="000000"/>
          <w:sz w:val="32"/>
          <w:szCs w:val="32"/>
        </w:rPr>
        <w:t>（二）一般公共预算财政拨款支出决算结构情况</w:t>
      </w:r>
      <w:bookmarkEnd w:id="60"/>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color w:val="000000"/>
          <w:sz w:val="32"/>
          <w:szCs w:val="32"/>
          <w:lang w:val="en-US"/>
        </w:rPr>
      </w:pPr>
      <w:r>
        <w:rPr>
          <w:rFonts w:hint="eastAsia" w:ascii="仿宋" w:hAnsi="仿宋" w:eastAsia="仿宋" w:cs="仿宋"/>
          <w:b/>
          <w:bCs/>
          <w:color w:val="auto"/>
          <w:sz w:val="32"/>
          <w:szCs w:val="32"/>
          <w:lang w:val="en-US" w:eastAsia="zh-CN"/>
        </w:rPr>
        <w:t>2020年一般公共预算财政拨款支出</w:t>
      </w:r>
      <w:r>
        <w:rPr>
          <w:rFonts w:hint="eastAsia" w:ascii="仿宋" w:hAnsi="仿宋" w:eastAsia="仿宋" w:cs="仿宋"/>
          <w:b/>
          <w:bCs/>
          <w:sz w:val="32"/>
          <w:szCs w:val="32"/>
          <w:lang w:val="en-US" w:eastAsia="zh-CN"/>
        </w:rPr>
        <w:t>16269.90</w:t>
      </w:r>
      <w:r>
        <w:rPr>
          <w:rFonts w:hint="eastAsia" w:ascii="仿宋" w:hAnsi="仿宋" w:eastAsia="仿宋" w:cs="仿宋"/>
          <w:b/>
          <w:bCs/>
          <w:color w:val="auto"/>
          <w:sz w:val="32"/>
          <w:szCs w:val="32"/>
          <w:lang w:val="en-US" w:eastAsia="zh-CN"/>
        </w:rPr>
        <w:t>万元，主要用于以下方面：一般公共服务（类）支出13091.18万元，占80.46%；教育支出（类）113.84万元，占0.70%；科学技术（类）支出16.74万元，占0.10%；社会保障和就业（类）支出1536.43万元，占9.44%；</w:t>
      </w:r>
      <w:r>
        <w:rPr>
          <w:rFonts w:hint="eastAsia" w:ascii="仿宋" w:hAnsi="仿宋" w:eastAsia="仿宋" w:cs="仿宋"/>
          <w:b/>
          <w:bCs/>
          <w:color w:val="auto"/>
          <w:kern w:val="2"/>
          <w:sz w:val="32"/>
          <w:szCs w:val="32"/>
          <w:lang w:val="en-US" w:eastAsia="zh-CN" w:bidi="ar-SA"/>
        </w:rPr>
        <w:t>卫生健康（类）</w:t>
      </w:r>
      <w:r>
        <w:rPr>
          <w:rFonts w:hint="eastAsia" w:ascii="仿宋" w:hAnsi="仿宋" w:eastAsia="仿宋" w:cs="仿宋"/>
          <w:b/>
          <w:bCs/>
          <w:color w:val="auto"/>
          <w:sz w:val="32"/>
          <w:szCs w:val="32"/>
          <w:lang w:val="en-US" w:eastAsia="zh-CN"/>
        </w:rPr>
        <w:t>支出432.36万元，占2.66%；住房保障（类）支出954.55万元，占5.87%；灾害防治及应急管理（类）支出8万元，占0.05%；其他（类）支出116.80万元，占0.72%。</w:t>
      </w:r>
    </w:p>
    <w:p>
      <w:pPr>
        <w:keepNext w:val="0"/>
        <w:keepLines w:val="0"/>
        <w:widowControl/>
        <w:suppressLineNumbers w:val="0"/>
        <w:jc w:val="center"/>
        <w:rPr>
          <w:rFonts w:hint="default" w:ascii="Times New Roman" w:hAnsi="Times New Roman" w:eastAsia="仿宋" w:cs="Times New Roman"/>
          <w:b/>
          <w:bCs/>
          <w:color w:val="000000"/>
          <w:sz w:val="32"/>
          <w:szCs w:val="32"/>
          <w:lang w:eastAsia="zh-CN"/>
        </w:rPr>
      </w:pPr>
      <w:r>
        <w:rPr>
          <w:rFonts w:ascii="宋体" w:hAnsi="宋体" w:eastAsia="宋体" w:cs="宋体"/>
          <w:kern w:val="0"/>
          <w:sz w:val="24"/>
          <w:szCs w:val="24"/>
          <w:lang w:val="en-US" w:eastAsia="zh-CN" w:bidi="ar"/>
        </w:rPr>
        <w:drawing>
          <wp:inline distT="0" distB="0" distL="114300" distR="114300">
            <wp:extent cx="3469640" cy="3312795"/>
            <wp:effectExtent l="0" t="0" r="16510" b="1905"/>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6"/>
                    <a:stretch>
                      <a:fillRect/>
                    </a:stretch>
                  </pic:blipFill>
                  <pic:spPr>
                    <a:xfrm>
                      <a:off x="0" y="0"/>
                      <a:ext cx="3469640" cy="3312795"/>
                    </a:xfrm>
                    <a:prstGeom prst="rect">
                      <a:avLst/>
                    </a:prstGeom>
                    <a:noFill/>
                    <a:ln w="9525">
                      <a:noFill/>
                    </a:ln>
                  </pic:spPr>
                </pic:pic>
              </a:graphicData>
            </a:graphic>
          </wp:inline>
        </w:drawing>
      </w:r>
    </w:p>
    <w:p>
      <w:pPr>
        <w:pageBreakBefore w:val="0"/>
        <w:kinsoku/>
        <w:wordWrap/>
        <w:overflowPunct/>
        <w:topLinePunct w:val="0"/>
        <w:bidi w:val="0"/>
        <w:adjustRightInd w:val="0"/>
        <w:snapToGrid w:val="0"/>
        <w:spacing w:line="360" w:lineRule="auto"/>
        <w:ind w:firstLine="643" w:firstLineChars="200"/>
        <w:outlineLvl w:val="2"/>
        <w:rPr>
          <w:rFonts w:hint="eastAsia" w:ascii="楷体" w:hAnsi="楷体" w:eastAsia="楷体" w:cs="楷体"/>
          <w:b/>
          <w:bCs/>
          <w:color w:val="000000"/>
          <w:sz w:val="32"/>
          <w:szCs w:val="32"/>
        </w:rPr>
      </w:pPr>
      <w:bookmarkStart w:id="61" w:name="_Toc15377212"/>
      <w:r>
        <w:rPr>
          <w:rFonts w:hint="eastAsia" w:ascii="楷体" w:hAnsi="楷体" w:eastAsia="楷体" w:cs="楷体"/>
          <w:b/>
          <w:bCs/>
          <w:color w:val="000000"/>
          <w:sz w:val="32"/>
          <w:szCs w:val="32"/>
        </w:rPr>
        <w:t>（三）一般公共预算财政拨款支出决算具体情况</w:t>
      </w:r>
      <w:bookmarkEnd w:id="61"/>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bookmarkStart w:id="62" w:name="_Toc15377213"/>
      <w:bookmarkStart w:id="63" w:name="_Toc15377444"/>
      <w:bookmarkStart w:id="64" w:name="_Toc15378460"/>
      <w:r>
        <w:rPr>
          <w:rFonts w:hint="eastAsia" w:ascii="仿宋" w:hAnsi="仿宋" w:eastAsia="仿宋" w:cs="仿宋"/>
          <w:b/>
          <w:bCs/>
          <w:color w:val="auto"/>
          <w:sz w:val="32"/>
          <w:szCs w:val="32"/>
          <w:lang w:val="en-US" w:eastAsia="zh-CN"/>
        </w:rPr>
        <w:t>2020年一般公共预算支出决算数为</w:t>
      </w:r>
      <w:r>
        <w:rPr>
          <w:rFonts w:hint="eastAsia" w:ascii="仿宋" w:hAnsi="仿宋" w:eastAsia="仿宋" w:cs="仿宋"/>
          <w:b/>
          <w:bCs/>
          <w:sz w:val="32"/>
          <w:szCs w:val="32"/>
          <w:lang w:val="en-US" w:eastAsia="zh-CN"/>
        </w:rPr>
        <w:t>16269.90</w:t>
      </w:r>
      <w:r>
        <w:rPr>
          <w:rFonts w:hint="eastAsia" w:ascii="仿宋" w:hAnsi="仿宋" w:eastAsia="仿宋" w:cs="仿宋"/>
          <w:b/>
          <w:bCs/>
          <w:color w:val="auto"/>
          <w:sz w:val="32"/>
          <w:szCs w:val="32"/>
          <w:lang w:val="en-US" w:eastAsia="zh-CN"/>
        </w:rPr>
        <w:t>万元，完成预算89.73%。其中：</w:t>
      </w:r>
      <w:bookmarkEnd w:id="62"/>
      <w:bookmarkEnd w:id="63"/>
      <w:bookmarkEnd w:id="64"/>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一般公共服务支出（类）政府办公厅（室）及相关机构事务（款）其他政府办公厅（室）及相关机构事务支出（项）:支出决算为294.57万元，完成预算33.25%。决算数小于预算数的主要原因是该经费为基建经费，2020年该基建项目尚未实施完毕。</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一般公共服务支出（类）纪检监察事务（款）一般行政管理事务（项）:支出决算为0.3万元，完成预算100%。</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一般公共服务支出（类）党委办公厅（室）及相关机构事务（款）行政运行（项）:支出决算为8024.54万元，完成预算96.16%。决算数小于预算数的主要原因是严控“三公”经费支出。</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一般公共服务支出（类）党委办公厅（室）及相关机构事务（款）一般行政管理事务（项）:支出决算为4771.77万元，完成预算84.97%。决算数小于预算数的主要原因是工作计划有所调整，相关经费财政收回。</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教育支出（类）进修及培训（款）培训支出（项）:支出决算为113.84万元，完成预算85.48%。决算数小于预算数的主要原因是受疫情影响，培训任务有所减少。</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科学技术支出（类）其他科学技术支出（款）其他科学技术支出（项）:支出决算为16.74万元，完成预算34.55%。决算数小于预算数的主要原因是科研项目经费按进度拨付，未执行部分结转至2021年使用。</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社会保障和就业支出（类）行政事业单位养老支出（款）行政单位离退休（项）:支出决算为984.66万元，完成预算97.84%。决算数小于预算数的主要原因是人员变动所致。</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社会保障和就业支出（类）行政事业单位养老支出（款）机关事业单位基本养老保险缴费支出（项）:支出决算为428.84万元，完成预算97.73%。决算数小于预算数的主要原因是人员变动所致。</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社会保障和就业支出（类）行政事业单位养老支出（款）机关事业单位职业年金缴费支出（项）:支出决算为38.51万元，完成预算100%。</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社会保障和就业支出（类）抚恤（款）死亡抚恤（项）:支出决算为84.42万元，完成预算98.25%。决算数小于预算数的主要原因是经费计算口径不同所致。</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kern w:val="2"/>
          <w:sz w:val="32"/>
          <w:szCs w:val="32"/>
          <w:lang w:val="en-US" w:eastAsia="zh-CN" w:bidi="ar-SA"/>
        </w:rPr>
        <w:t>卫生健康</w:t>
      </w:r>
      <w:r>
        <w:rPr>
          <w:rFonts w:hint="eastAsia" w:ascii="仿宋" w:hAnsi="仿宋" w:eastAsia="仿宋" w:cs="仿宋"/>
          <w:b/>
          <w:bCs/>
          <w:color w:val="auto"/>
          <w:sz w:val="32"/>
          <w:szCs w:val="32"/>
          <w:lang w:val="en-US" w:eastAsia="zh-CN"/>
        </w:rPr>
        <w:t>支出（类）行政事业单位医疗（款）行政单位医疗（项）:支出决算为335.21万元，完成预算100%。</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kern w:val="2"/>
          <w:sz w:val="32"/>
          <w:szCs w:val="32"/>
          <w:lang w:val="en-US" w:eastAsia="zh-CN" w:bidi="ar-SA"/>
        </w:rPr>
        <w:t>卫生健康</w:t>
      </w:r>
      <w:r>
        <w:rPr>
          <w:rFonts w:hint="eastAsia" w:ascii="仿宋" w:hAnsi="仿宋" w:eastAsia="仿宋" w:cs="仿宋"/>
          <w:b/>
          <w:bCs/>
          <w:color w:val="auto"/>
          <w:sz w:val="32"/>
          <w:szCs w:val="32"/>
          <w:lang w:val="en-US" w:eastAsia="zh-CN"/>
        </w:rPr>
        <w:t>支出（类）行政事业单位医疗（款）公务员医疗补助（项）:支出决算为97.15万元，完成预算99.62%。决算数小于预算数的主要原因是人员变动所致。</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住房保障支出（类）住房改革支出（款）住房公积金（项）:支出决算为446.96万元，完成预算100%。</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auto"/>
          <w:sz w:val="32"/>
          <w:szCs w:val="32"/>
          <w:lang w:val="en-US" w:eastAsia="zh-CN"/>
        </w:rPr>
        <w:t>住房保障支出（类）住房改革支出（款）购房补贴（项）:支出决算为507.59万元，完成预算96.03%。决算数小于预算数的主要原因是人员变动所致。</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灾害防治及应急管理支出</w:t>
      </w:r>
      <w:r>
        <w:rPr>
          <w:rFonts w:hint="eastAsia" w:ascii="仿宋" w:hAnsi="仿宋" w:eastAsia="仿宋" w:cs="仿宋"/>
          <w:b/>
          <w:bCs/>
          <w:color w:val="000000"/>
          <w:sz w:val="32"/>
          <w:szCs w:val="32"/>
          <w:lang w:eastAsia="zh-CN"/>
        </w:rPr>
        <w:t>（类）应急管理事务（款）其他应急管理支出（项）：</w:t>
      </w:r>
      <w:r>
        <w:rPr>
          <w:rFonts w:hint="eastAsia" w:ascii="仿宋" w:hAnsi="仿宋" w:eastAsia="仿宋" w:cs="仿宋"/>
          <w:b/>
          <w:bCs/>
          <w:color w:val="auto"/>
          <w:sz w:val="32"/>
          <w:szCs w:val="32"/>
          <w:lang w:val="en-US" w:eastAsia="zh-CN"/>
        </w:rPr>
        <w:t>支出决算为8万元，完成预算100%。</w:t>
      </w:r>
    </w:p>
    <w:p>
      <w:pPr>
        <w:keepNext w:val="0"/>
        <w:keepLines w:val="0"/>
        <w:pageBreakBefore w:val="0"/>
        <w:widowControl w:val="0"/>
        <w:numPr>
          <w:ilvl w:val="0"/>
          <w:numId w:val="3"/>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其他支出</w:t>
      </w:r>
      <w:r>
        <w:rPr>
          <w:rFonts w:hint="eastAsia" w:ascii="仿宋" w:hAnsi="仿宋" w:eastAsia="仿宋" w:cs="仿宋"/>
          <w:b/>
          <w:bCs/>
          <w:color w:val="000000"/>
          <w:sz w:val="32"/>
          <w:szCs w:val="32"/>
          <w:lang w:eastAsia="zh-CN"/>
        </w:rPr>
        <w:t>（类）其他支出（款）其他支出（项）：</w:t>
      </w:r>
      <w:r>
        <w:rPr>
          <w:rFonts w:hint="eastAsia" w:ascii="仿宋" w:hAnsi="仿宋" w:eastAsia="仿宋" w:cs="仿宋"/>
          <w:b/>
          <w:bCs/>
          <w:color w:val="auto"/>
          <w:sz w:val="32"/>
          <w:szCs w:val="32"/>
          <w:lang w:val="en-US" w:eastAsia="zh-CN"/>
        </w:rPr>
        <w:t>支出决算为116.80万元，完成预算100%。</w:t>
      </w:r>
    </w:p>
    <w:p>
      <w:pPr>
        <w:keepNext w:val="0"/>
        <w:keepLines w:val="0"/>
        <w:pageBreakBefore w:val="0"/>
        <w:widowControl w:val="0"/>
        <w:tabs>
          <w:tab w:val="right" w:pos="8306"/>
        </w:tabs>
        <w:kinsoku/>
        <w:wordWrap/>
        <w:overflowPunct/>
        <w:topLinePunct w:val="0"/>
        <w:autoSpaceDE/>
        <w:autoSpaceDN/>
        <w:bidi w:val="0"/>
        <w:adjustRightInd w:val="0"/>
        <w:snapToGrid w:val="0"/>
        <w:spacing w:line="600" w:lineRule="exact"/>
        <w:ind w:firstLine="640"/>
        <w:textAlignment w:val="auto"/>
        <w:outlineLvl w:val="1"/>
        <w:rPr>
          <w:rStyle w:val="26"/>
          <w:rFonts w:hint="default" w:ascii="Times New Roman" w:hAnsi="Times New Roman" w:cs="Times New Roman"/>
          <w:b/>
          <w:bCs/>
        </w:rPr>
      </w:pPr>
      <w:bookmarkStart w:id="65" w:name="_Toc15377214"/>
      <w:bookmarkStart w:id="66" w:name="_Toc9299"/>
      <w:r>
        <w:rPr>
          <w:rFonts w:hint="default" w:ascii="Times New Roman" w:hAnsi="Times New Roman" w:eastAsia="黑体" w:cs="Times New Roman"/>
          <w:b/>
          <w:bCs/>
          <w:color w:val="000000"/>
          <w:sz w:val="32"/>
          <w:szCs w:val="32"/>
        </w:rPr>
        <w:t>六、一</w:t>
      </w:r>
      <w:r>
        <w:rPr>
          <w:rStyle w:val="26"/>
          <w:rFonts w:hint="default" w:ascii="Times New Roman" w:hAnsi="Times New Roman" w:eastAsia="黑体" w:cs="Times New Roman"/>
          <w:b/>
          <w:bCs/>
        </w:rPr>
        <w:t>般公共预算财政拨款基本支出决算情况说明</w:t>
      </w:r>
      <w:bookmarkEnd w:id="65"/>
      <w:bookmarkEnd w:id="66"/>
      <w:r>
        <w:rPr>
          <w:rStyle w:val="26"/>
          <w:rFonts w:hint="default" w:ascii="Times New Roman" w:hAnsi="Times New Roman" w:eastAsia="黑体" w:cs="Times New Roman"/>
          <w:b/>
          <w:bCs/>
        </w:rPr>
        <w:tab/>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2020年一般公共预算财政拨款基本支出11061.72万元，其中：</w:t>
      </w:r>
    </w:p>
    <w:p>
      <w:pPr>
        <w:keepNext w:val="0"/>
        <w:keepLines w:val="0"/>
        <w:pageBreakBefore w:val="0"/>
        <w:widowControl w:val="0"/>
        <w:numPr>
          <w:ilvl w:val="0"/>
          <w:numId w:val="4"/>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人员经费6924.28万元，包括：基本工资、津贴补贴、奖金、绩效工资、机关事业单位基本养老保险缴费、职业年金缴费、职工基本医疗保险缴费、公务员医疗补助缴费、其他社会保障缴费、住房公积金、其他工资福利支出、离休费、抚恤金、生活补助、奖励金、其他对个人和家庭的补助支出。</w:t>
      </w:r>
      <w:r>
        <w:rPr>
          <w:rFonts w:hint="eastAsia" w:ascii="仿宋" w:hAnsi="仿宋" w:eastAsia="仿宋" w:cs="仿宋"/>
          <w:b/>
          <w:bCs/>
          <w:color w:val="auto"/>
          <w:sz w:val="32"/>
          <w:szCs w:val="32"/>
          <w:lang w:val="en-US" w:eastAsia="zh-CN"/>
        </w:rPr>
        <w:br w:type="textWrapping"/>
      </w:r>
      <w:r>
        <w:rPr>
          <w:rFonts w:hint="eastAsia" w:ascii="仿宋" w:hAnsi="仿宋" w:eastAsia="仿宋" w:cs="仿宋"/>
          <w:b/>
          <w:bCs/>
          <w:color w:val="auto"/>
          <w:sz w:val="32"/>
          <w:szCs w:val="32"/>
          <w:lang w:val="en-US" w:eastAsia="zh-CN"/>
        </w:rPr>
        <w:t xml:space="preserve">    2. 公用经费4137.44万元，主要包括：办公费、印刷费、手续费、水费、电费、邮电费、取暖费、物业管理费、差旅费、因公出国（境）费用、维修（护）费、会议费、培训费、公务接待费、劳务费、工会经费、福利费、公务用车运行维护费、其他交通费、其他商品和服务支出。</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outlineLvl w:val="1"/>
        <w:rPr>
          <w:rStyle w:val="26"/>
          <w:rFonts w:hint="default" w:ascii="Times New Roman" w:hAnsi="Times New Roman" w:eastAsia="黑体" w:cs="Times New Roman"/>
          <w:b/>
          <w:bCs/>
        </w:rPr>
      </w:pPr>
      <w:bookmarkStart w:id="67" w:name="_Toc15377215"/>
      <w:bookmarkStart w:id="68" w:name="_Toc21678"/>
      <w:r>
        <w:rPr>
          <w:rFonts w:hint="default" w:ascii="Times New Roman" w:hAnsi="Times New Roman" w:eastAsia="黑体" w:cs="Times New Roman"/>
          <w:b/>
          <w:bCs/>
          <w:color w:val="000000"/>
          <w:sz w:val="32"/>
          <w:szCs w:val="32"/>
        </w:rPr>
        <w:t>七、</w:t>
      </w:r>
      <w:r>
        <w:rPr>
          <w:rStyle w:val="26"/>
          <w:rFonts w:hint="default" w:ascii="Times New Roman" w:hAnsi="Times New Roman" w:eastAsia="黑体" w:cs="Times New Roman"/>
          <w:b/>
          <w:bCs/>
        </w:rPr>
        <w:t>“三公”经费财政拨款支出决算情况说明</w:t>
      </w:r>
      <w:bookmarkEnd w:id="67"/>
      <w:bookmarkEnd w:id="68"/>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outlineLvl w:val="2"/>
        <w:rPr>
          <w:rFonts w:hint="eastAsia" w:ascii="楷体" w:hAnsi="楷体" w:eastAsia="楷体" w:cs="楷体"/>
          <w:b/>
          <w:bCs/>
          <w:color w:val="000000"/>
          <w:sz w:val="32"/>
          <w:szCs w:val="32"/>
        </w:rPr>
      </w:pPr>
      <w:bookmarkStart w:id="69" w:name="_Toc15377216"/>
      <w:r>
        <w:rPr>
          <w:rFonts w:hint="eastAsia" w:ascii="楷体" w:hAnsi="楷体" w:eastAsia="楷体" w:cs="楷体"/>
          <w:b/>
          <w:bCs/>
          <w:color w:val="000000"/>
          <w:sz w:val="32"/>
          <w:szCs w:val="32"/>
        </w:rPr>
        <w:t>（一）“三公”经费财政拨款支出决算总体情况说明</w:t>
      </w:r>
      <w:bookmarkEnd w:id="69"/>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2020年“三公”经费财政拨款支出决算为300.94万元，完成预算61.79%，决算数小于预算数的主要原因是受疫情影响，因公出国（境）经费未使用，持续加强公务用车运行维护费和公务接待费管理。</w:t>
      </w:r>
    </w:p>
    <w:p>
      <w:pPr>
        <w:keepNext w:val="0"/>
        <w:keepLines w:val="0"/>
        <w:pageBreakBefore w:val="0"/>
        <w:widowControl w:val="0"/>
        <w:kinsoku/>
        <w:wordWrap/>
        <w:overflowPunct/>
        <w:topLinePunct w:val="0"/>
        <w:autoSpaceDE/>
        <w:autoSpaceDN/>
        <w:bidi w:val="0"/>
        <w:adjustRightInd w:val="0"/>
        <w:snapToGrid w:val="0"/>
        <w:spacing w:line="600" w:lineRule="exact"/>
        <w:ind w:firstLine="640"/>
        <w:textAlignment w:val="auto"/>
        <w:outlineLvl w:val="2"/>
        <w:rPr>
          <w:rFonts w:hint="eastAsia" w:ascii="楷体" w:hAnsi="楷体" w:eastAsia="楷体" w:cs="楷体"/>
          <w:b/>
          <w:bCs/>
          <w:color w:val="000000"/>
          <w:sz w:val="32"/>
          <w:szCs w:val="32"/>
        </w:rPr>
      </w:pPr>
      <w:bookmarkStart w:id="70" w:name="_Toc15377217"/>
      <w:r>
        <w:rPr>
          <w:rFonts w:hint="eastAsia" w:ascii="楷体" w:hAnsi="楷体" w:eastAsia="楷体" w:cs="楷体"/>
          <w:b/>
          <w:bCs/>
          <w:color w:val="000000"/>
          <w:sz w:val="32"/>
          <w:szCs w:val="32"/>
        </w:rPr>
        <w:t>（二）“三公”经费财政拨款支出决算具体情况说明</w:t>
      </w:r>
      <w:bookmarkEnd w:id="70"/>
    </w:p>
    <w:p>
      <w:pPr>
        <w:keepNext w:val="0"/>
        <w:keepLines w:val="0"/>
        <w:pageBreakBefore w:val="0"/>
        <w:widowControl w:val="0"/>
        <w:numPr>
          <w:ilvl w:val="0"/>
          <w:numId w:val="0"/>
        </w:numPr>
        <w:kinsoku/>
        <w:wordWrap/>
        <w:overflowPunct/>
        <w:topLinePunct w:val="0"/>
        <w:autoSpaceDE/>
        <w:autoSpaceDN/>
        <w:bidi w:val="0"/>
        <w:adjustRightInd w:val="0"/>
        <w:snapToGrid w:val="0"/>
        <w:spacing w:after="269" w:afterLines="86" w:afterAutospacing="0"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2020年“三公”经费财政拨款支出决算中，因公出国（境）经费支出决算数为零；公务用车购置及运行维护费支出决算298.16万元，占99.08%；公务接待费支出决算2.79万元，占0.92%。具体情况如下：</w:t>
      </w:r>
    </w:p>
    <w:p>
      <w:pPr>
        <w:keepNext w:val="0"/>
        <w:keepLines w:val="0"/>
        <w:widowControl/>
        <w:suppressLineNumbers w:val="0"/>
        <w:jc w:val="center"/>
        <w:rPr>
          <w:rFonts w:hint="default" w:ascii="Times New Roman" w:hAnsi="Times New Roman" w:eastAsia="仿宋_GB2312" w:cs="Times New Roman"/>
          <w:b/>
          <w:bCs/>
          <w:color w:val="auto"/>
          <w:sz w:val="32"/>
          <w:szCs w:val="32"/>
          <w:lang w:val="en-US" w:eastAsia="zh-CN"/>
        </w:rPr>
      </w:pPr>
      <w:r>
        <w:rPr>
          <w:rFonts w:ascii="宋体" w:hAnsi="宋体" w:eastAsia="宋体" w:cs="宋体"/>
          <w:kern w:val="0"/>
          <w:sz w:val="24"/>
          <w:szCs w:val="24"/>
          <w:lang w:val="en-US" w:eastAsia="zh-CN" w:bidi="ar"/>
        </w:rPr>
        <w:drawing>
          <wp:inline distT="0" distB="0" distL="114300" distR="114300">
            <wp:extent cx="3497580" cy="3031490"/>
            <wp:effectExtent l="0" t="0" r="7620" b="165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7"/>
                    <a:stretch>
                      <a:fillRect/>
                    </a:stretch>
                  </pic:blipFill>
                  <pic:spPr>
                    <a:xfrm>
                      <a:off x="0" y="0"/>
                      <a:ext cx="3497580" cy="3031490"/>
                    </a:xfrm>
                    <a:prstGeom prst="rect">
                      <a:avLst/>
                    </a:prstGeom>
                    <a:noFill/>
                    <a:ln w="9525">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因公出国（境）经费预算数为零，支出数为零。与2019年相比减少42.76万元，下降100%。主要原因是受国外疫情影响，未安排出国（境）计划。</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left="0" w:leftChars="0"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公务用车购置及运行维护费支出298.16万元,完成预算80.80%。公务用车购置及运行维护费支出决算比2019年减少98.59万元，下降24.85%。主要原因是持续强化公务用车管理，公务用车较2019年减少。</w:t>
      </w:r>
    </w:p>
    <w:p>
      <w:pPr>
        <w:keepNext w:val="0"/>
        <w:keepLines w:val="0"/>
        <w:pageBreakBefore w:val="0"/>
        <w:widowControl w:val="0"/>
        <w:kinsoku/>
        <w:wordWrap/>
        <w:overflowPunct/>
        <w:topLinePunct w:val="0"/>
        <w:autoSpaceDE/>
        <w:autoSpaceDN/>
        <w:bidi w:val="0"/>
        <w:adjustRightInd/>
        <w:snapToGrid/>
        <w:spacing w:line="600" w:lineRule="exact"/>
        <w:ind w:firstLine="64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其中：公务用车购置支出18.59万元。全年按规定更新购置公务用车1辆。截至2020年12月底，单位共有公务用车74辆。其中：轿车37辆、越野车22辆、小型载客汽车2辆、大中型载客汽车12辆、其他车型1辆。</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公务用车运行维护费支出279.56万元。主要用于保障省委和省委办公厅日常公务用车的燃料费、维修费、保险费、过路费等支出。</w:t>
      </w:r>
    </w:p>
    <w:p>
      <w:pPr>
        <w:keepNext w:val="0"/>
        <w:keepLines w:val="0"/>
        <w:pageBreakBefore w:val="0"/>
        <w:widowControl w:val="0"/>
        <w:numPr>
          <w:ilvl w:val="0"/>
          <w:numId w:val="5"/>
        </w:numPr>
        <w:kinsoku/>
        <w:wordWrap/>
        <w:overflowPunct/>
        <w:topLinePunct w:val="0"/>
        <w:autoSpaceDE/>
        <w:autoSpaceDN/>
        <w:bidi w:val="0"/>
        <w:adjustRightInd w:val="0"/>
        <w:snapToGrid w:val="0"/>
        <w:spacing w:line="600" w:lineRule="exact"/>
        <w:ind w:left="0" w:leftChars="0"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公务接待费支出2.79万元，完成预算15.50%，均为国内公务接待，无外事接待支出。公务接待费支出决算比2019年减少1.60万元，下降36.45%。主要原因是公务接待人数减少。</w:t>
      </w:r>
    </w:p>
    <w:p>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国内公务接待35批次，146人次（不包括陪同人员），共计支出2.79万元，主要用于省委办公厅工作开展所必要的公务接待任务，如其他省市来川调研交流接待任务等。</w:t>
      </w:r>
    </w:p>
    <w:p>
      <w:pPr>
        <w:keepNext w:val="0"/>
        <w:keepLines w:val="0"/>
        <w:pageBreakBefore w:val="0"/>
        <w:kinsoku/>
        <w:wordWrap/>
        <w:overflowPunct/>
        <w:topLinePunct w:val="0"/>
        <w:autoSpaceDE/>
        <w:autoSpaceDN/>
        <w:bidi w:val="0"/>
        <w:adjustRightInd w:val="0"/>
        <w:snapToGrid w:val="0"/>
        <w:spacing w:line="600" w:lineRule="exact"/>
        <w:ind w:firstLine="640"/>
        <w:textAlignment w:val="auto"/>
        <w:outlineLvl w:val="1"/>
        <w:rPr>
          <w:rStyle w:val="26"/>
          <w:rFonts w:hint="default" w:ascii="Times New Roman" w:hAnsi="Times New Roman" w:eastAsia="黑体" w:cs="Times New Roman"/>
          <w:b/>
          <w:bCs/>
        </w:rPr>
      </w:pPr>
      <w:bookmarkStart w:id="71" w:name="_Toc3560"/>
      <w:bookmarkStart w:id="72" w:name="_Toc15377218"/>
      <w:r>
        <w:rPr>
          <w:rFonts w:hint="default" w:ascii="Times New Roman" w:hAnsi="Times New Roman" w:eastAsia="黑体" w:cs="Times New Roman"/>
          <w:b/>
          <w:bCs/>
          <w:color w:val="000000"/>
          <w:sz w:val="32"/>
          <w:szCs w:val="32"/>
        </w:rPr>
        <w:t>八、</w:t>
      </w:r>
      <w:r>
        <w:rPr>
          <w:rStyle w:val="26"/>
          <w:rFonts w:hint="default" w:ascii="Times New Roman" w:hAnsi="Times New Roman" w:eastAsia="黑体" w:cs="Times New Roman"/>
          <w:b/>
          <w:bCs/>
        </w:rPr>
        <w:t>政府性基金预算支出决算情况说明</w:t>
      </w:r>
      <w:bookmarkEnd w:id="71"/>
      <w:bookmarkEnd w:id="72"/>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年政府性基金预算</w:t>
      </w:r>
      <w:r>
        <w:rPr>
          <w:rFonts w:hint="eastAsia" w:ascii="仿宋" w:hAnsi="仿宋" w:eastAsia="仿宋" w:cs="仿宋"/>
          <w:b/>
          <w:bCs/>
          <w:color w:val="000000"/>
          <w:sz w:val="32"/>
          <w:szCs w:val="32"/>
          <w:lang w:eastAsia="zh-CN"/>
        </w:rPr>
        <w:t>财政</w:t>
      </w:r>
      <w:r>
        <w:rPr>
          <w:rFonts w:hint="eastAsia" w:ascii="仿宋" w:hAnsi="仿宋" w:eastAsia="仿宋" w:cs="仿宋"/>
          <w:b/>
          <w:bCs/>
          <w:color w:val="000000"/>
          <w:sz w:val="32"/>
          <w:szCs w:val="32"/>
        </w:rPr>
        <w:t>拨款支出</w:t>
      </w:r>
      <w:r>
        <w:rPr>
          <w:rFonts w:hint="eastAsia" w:ascii="仿宋" w:hAnsi="仿宋" w:eastAsia="仿宋" w:cs="仿宋"/>
          <w:b/>
          <w:bCs/>
          <w:color w:val="000000"/>
          <w:sz w:val="32"/>
          <w:szCs w:val="32"/>
          <w:lang w:val="en-US" w:eastAsia="zh-CN"/>
        </w:rPr>
        <w:t>为零</w:t>
      </w:r>
      <w:r>
        <w:rPr>
          <w:rFonts w:hint="eastAsia" w:ascii="仿宋" w:hAnsi="仿宋" w:eastAsia="仿宋" w:cs="仿宋"/>
          <w:b/>
          <w:bCs/>
          <w:color w:val="000000"/>
          <w:sz w:val="32"/>
          <w:szCs w:val="32"/>
        </w:rPr>
        <w:t>。</w:t>
      </w:r>
    </w:p>
    <w:p>
      <w:pPr>
        <w:keepNext w:val="0"/>
        <w:keepLines w:val="0"/>
        <w:pageBreakBefore w:val="0"/>
        <w:numPr>
          <w:ilvl w:val="0"/>
          <w:numId w:val="6"/>
        </w:numPr>
        <w:kinsoku/>
        <w:wordWrap/>
        <w:overflowPunct/>
        <w:topLinePunct w:val="0"/>
        <w:autoSpaceDE/>
        <w:autoSpaceDN/>
        <w:bidi w:val="0"/>
        <w:adjustRightInd w:val="0"/>
        <w:snapToGrid w:val="0"/>
        <w:spacing w:line="600" w:lineRule="exact"/>
        <w:ind w:firstLine="640"/>
        <w:textAlignment w:val="auto"/>
        <w:outlineLvl w:val="1"/>
        <w:rPr>
          <w:rStyle w:val="26"/>
          <w:rFonts w:hint="default" w:ascii="Times New Roman" w:hAnsi="Times New Roman" w:eastAsia="黑体" w:cs="Times New Roman"/>
          <w:b/>
          <w:bCs/>
        </w:rPr>
      </w:pPr>
      <w:bookmarkStart w:id="73" w:name="_Toc9743"/>
      <w:bookmarkStart w:id="74" w:name="_Toc15377219"/>
      <w:r>
        <w:rPr>
          <w:rStyle w:val="26"/>
          <w:rFonts w:hint="default" w:ascii="Times New Roman" w:hAnsi="Times New Roman" w:eastAsia="黑体" w:cs="Times New Roman"/>
          <w:b/>
          <w:bCs/>
        </w:rPr>
        <w:t>国有资本经营预算支出决算情况说明</w:t>
      </w:r>
      <w:bookmarkEnd w:id="73"/>
      <w:bookmarkEnd w:id="74"/>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年国有资本经营预算</w:t>
      </w:r>
      <w:r>
        <w:rPr>
          <w:rFonts w:hint="eastAsia" w:ascii="仿宋" w:hAnsi="仿宋" w:eastAsia="仿宋" w:cs="仿宋"/>
          <w:b/>
          <w:bCs/>
          <w:color w:val="000000"/>
          <w:sz w:val="32"/>
          <w:szCs w:val="32"/>
          <w:lang w:eastAsia="zh-CN"/>
        </w:rPr>
        <w:t>财政</w:t>
      </w:r>
      <w:r>
        <w:rPr>
          <w:rFonts w:hint="eastAsia" w:ascii="仿宋" w:hAnsi="仿宋" w:eastAsia="仿宋" w:cs="仿宋"/>
          <w:b/>
          <w:bCs/>
          <w:color w:val="000000"/>
          <w:sz w:val="32"/>
          <w:szCs w:val="32"/>
        </w:rPr>
        <w:t>拨款支出</w:t>
      </w:r>
      <w:r>
        <w:rPr>
          <w:rFonts w:hint="eastAsia" w:ascii="仿宋" w:hAnsi="仿宋" w:eastAsia="仿宋" w:cs="仿宋"/>
          <w:b/>
          <w:bCs/>
          <w:color w:val="000000"/>
          <w:sz w:val="32"/>
          <w:szCs w:val="32"/>
          <w:lang w:val="en-US" w:eastAsia="zh-CN"/>
        </w:rPr>
        <w:t>为零</w:t>
      </w:r>
      <w:r>
        <w:rPr>
          <w:rFonts w:hint="eastAsia" w:ascii="仿宋" w:hAnsi="仿宋" w:eastAsia="仿宋" w:cs="仿宋"/>
          <w:b/>
          <w:bCs/>
          <w:color w:val="000000"/>
          <w:sz w:val="32"/>
          <w:szCs w:val="32"/>
        </w:rPr>
        <w:t>。</w:t>
      </w:r>
    </w:p>
    <w:p>
      <w:pPr>
        <w:pStyle w:val="24"/>
        <w:keepNext w:val="0"/>
        <w:keepLines w:val="0"/>
        <w:pageBreakBefore w:val="0"/>
        <w:numPr>
          <w:ilvl w:val="0"/>
          <w:numId w:val="7"/>
        </w:numPr>
        <w:kinsoku/>
        <w:wordWrap/>
        <w:overflowPunct/>
        <w:topLinePunct w:val="0"/>
        <w:autoSpaceDE/>
        <w:autoSpaceDN/>
        <w:bidi w:val="0"/>
        <w:adjustRightInd w:val="0"/>
        <w:snapToGrid w:val="0"/>
        <w:spacing w:line="600" w:lineRule="exact"/>
        <w:ind w:firstLineChars="0"/>
        <w:textAlignment w:val="auto"/>
        <w:rPr>
          <w:rStyle w:val="26"/>
          <w:rFonts w:hint="default" w:ascii="Times New Roman" w:hAnsi="Times New Roman" w:eastAsia="黑体" w:cs="Times New Roman"/>
          <w:b/>
          <w:bCs/>
        </w:rPr>
      </w:pPr>
      <w:bookmarkStart w:id="75" w:name="_Toc27146"/>
      <w:r>
        <w:rPr>
          <w:rStyle w:val="26"/>
          <w:rFonts w:hint="eastAsia" w:ascii="黑体" w:hAnsi="黑体" w:eastAsia="黑体"/>
          <w:b/>
          <w:bCs w:val="0"/>
        </w:rPr>
        <w:t>其他重要事项的情况</w:t>
      </w:r>
      <w:r>
        <w:rPr>
          <w:rStyle w:val="26"/>
          <w:rFonts w:hint="default" w:ascii="Times New Roman" w:hAnsi="Times New Roman" w:eastAsia="黑体" w:cs="Times New Roman"/>
          <w:b/>
          <w:bCs/>
        </w:rPr>
        <w:t>说明</w:t>
      </w:r>
    </w:p>
    <w:bookmarkEnd w:id="75"/>
    <w:p>
      <w:pPr>
        <w:keepNext w:val="0"/>
        <w:keepLines w:val="0"/>
        <w:pageBreakBefore w:val="0"/>
        <w:numPr>
          <w:ilvl w:val="0"/>
          <w:numId w:val="8"/>
        </w:numPr>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color w:val="000000"/>
          <w:sz w:val="32"/>
          <w:szCs w:val="32"/>
        </w:rPr>
        <w:t>机关运行经费支出情况</w:t>
      </w:r>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default" w:ascii="楷体" w:hAnsi="楷体" w:eastAsia="楷体" w:cs="楷体"/>
          <w:b/>
          <w:bCs/>
          <w:sz w:val="32"/>
          <w:szCs w:val="32"/>
          <w:lang w:val="en-US" w:eastAsia="zh-CN"/>
        </w:rPr>
      </w:pPr>
      <w:r>
        <w:rPr>
          <w:rFonts w:hint="eastAsia" w:ascii="仿宋" w:hAnsi="仿宋" w:eastAsia="仿宋" w:cs="仿宋"/>
          <w:b/>
          <w:bCs/>
          <w:color w:val="000000"/>
          <w:sz w:val="32"/>
          <w:szCs w:val="32"/>
        </w:rPr>
        <w:t>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w:t>
      </w:r>
      <w:r>
        <w:rPr>
          <w:rFonts w:hint="eastAsia" w:ascii="仿宋" w:hAnsi="仿宋" w:eastAsia="仿宋" w:cs="仿宋"/>
          <w:b/>
          <w:bCs/>
          <w:color w:val="000000"/>
          <w:sz w:val="32"/>
          <w:szCs w:val="32"/>
          <w:lang w:eastAsia="zh-CN"/>
        </w:rPr>
        <w:t>省委办公厅</w:t>
      </w:r>
      <w:r>
        <w:rPr>
          <w:rFonts w:hint="eastAsia" w:ascii="仿宋" w:hAnsi="仿宋" w:eastAsia="仿宋" w:cs="仿宋"/>
          <w:b/>
          <w:bCs/>
          <w:color w:val="000000"/>
          <w:sz w:val="32"/>
          <w:szCs w:val="32"/>
        </w:rPr>
        <w:t>机关运行经费支出</w:t>
      </w:r>
      <w:r>
        <w:rPr>
          <w:rFonts w:hint="eastAsia" w:ascii="仿宋" w:hAnsi="仿宋" w:eastAsia="仿宋" w:cs="仿宋"/>
          <w:b/>
          <w:bCs/>
          <w:color w:val="000000"/>
          <w:sz w:val="32"/>
          <w:szCs w:val="32"/>
          <w:lang w:val="en-US" w:eastAsia="zh-CN"/>
        </w:rPr>
        <w:t>4137.44</w:t>
      </w:r>
      <w:r>
        <w:rPr>
          <w:rFonts w:hint="eastAsia" w:ascii="仿宋" w:hAnsi="仿宋" w:eastAsia="仿宋" w:cs="仿宋"/>
          <w:b/>
          <w:bCs/>
          <w:color w:val="000000"/>
          <w:sz w:val="32"/>
          <w:szCs w:val="32"/>
        </w:rPr>
        <w:t>万元，</w:t>
      </w:r>
      <w:r>
        <w:rPr>
          <w:rFonts w:hint="eastAsia" w:ascii="仿宋" w:hAnsi="仿宋" w:eastAsia="仿宋" w:cs="仿宋"/>
          <w:b/>
          <w:bCs/>
          <w:color w:val="000000"/>
          <w:sz w:val="32"/>
          <w:szCs w:val="32"/>
          <w:lang w:eastAsia="zh-CN"/>
        </w:rPr>
        <w:t>与</w:t>
      </w:r>
      <w:r>
        <w:rPr>
          <w:rFonts w:hint="eastAsia" w:ascii="仿宋" w:hAnsi="仿宋" w:eastAsia="仿宋" w:cs="仿宋"/>
          <w:b/>
          <w:bCs/>
          <w:color w:val="000000"/>
          <w:sz w:val="32"/>
          <w:szCs w:val="32"/>
        </w:rPr>
        <w:t>201</w:t>
      </w:r>
      <w:r>
        <w:rPr>
          <w:rFonts w:hint="eastAsia" w:ascii="仿宋" w:hAnsi="仿宋" w:eastAsia="仿宋" w:cs="仿宋"/>
          <w:b/>
          <w:bCs/>
          <w:color w:val="000000"/>
          <w:sz w:val="32"/>
          <w:szCs w:val="32"/>
          <w:lang w:val="en-US" w:eastAsia="zh-CN"/>
        </w:rPr>
        <w:t>9</w:t>
      </w:r>
      <w:r>
        <w:rPr>
          <w:rFonts w:hint="eastAsia" w:ascii="仿宋" w:hAnsi="仿宋" w:eastAsia="仿宋" w:cs="仿宋"/>
          <w:b/>
          <w:bCs/>
          <w:color w:val="000000"/>
          <w:sz w:val="32"/>
          <w:szCs w:val="32"/>
        </w:rPr>
        <w:t>年</w:t>
      </w:r>
      <w:r>
        <w:rPr>
          <w:rFonts w:hint="eastAsia" w:ascii="仿宋" w:hAnsi="仿宋" w:eastAsia="仿宋" w:cs="仿宋"/>
          <w:b/>
          <w:bCs/>
          <w:color w:val="000000"/>
          <w:sz w:val="32"/>
          <w:szCs w:val="32"/>
          <w:lang w:eastAsia="zh-CN"/>
        </w:rPr>
        <w:t>决算公开数相比增幅较大，主要原因是按决算编制要求调整了</w:t>
      </w:r>
      <w:r>
        <w:rPr>
          <w:rFonts w:hint="eastAsia" w:ascii="仿宋" w:hAnsi="仿宋" w:eastAsia="仿宋" w:cs="仿宋"/>
          <w:b/>
          <w:bCs/>
          <w:color w:val="000000"/>
          <w:sz w:val="32"/>
          <w:szCs w:val="32"/>
          <w:lang w:val="en-US" w:eastAsia="zh-CN"/>
        </w:rPr>
        <w:t>经费支出分类方式，导致决算数据口径变化</w:t>
      </w:r>
      <w:r>
        <w:rPr>
          <w:rFonts w:hint="eastAsia" w:ascii="仿宋" w:hAnsi="仿宋" w:eastAsia="仿宋" w:cs="仿宋"/>
          <w:b/>
          <w:bCs/>
          <w:color w:val="000000"/>
          <w:sz w:val="32"/>
          <w:szCs w:val="32"/>
          <w:lang w:eastAsia="zh-CN"/>
        </w:rPr>
        <w:t>；若同口径相比，则减少</w:t>
      </w:r>
      <w:r>
        <w:rPr>
          <w:rFonts w:hint="eastAsia" w:ascii="仿宋" w:hAnsi="仿宋" w:eastAsia="仿宋" w:cs="仿宋"/>
          <w:b/>
          <w:bCs/>
          <w:color w:val="000000"/>
          <w:sz w:val="32"/>
          <w:szCs w:val="32"/>
          <w:lang w:val="en-US" w:eastAsia="zh-CN"/>
        </w:rPr>
        <w:t>541.22</w:t>
      </w:r>
      <w:r>
        <w:rPr>
          <w:rFonts w:hint="eastAsia" w:ascii="仿宋" w:hAnsi="仿宋" w:eastAsia="仿宋" w:cs="仿宋"/>
          <w:b/>
          <w:bCs/>
          <w:color w:val="000000"/>
          <w:sz w:val="32"/>
          <w:szCs w:val="32"/>
        </w:rPr>
        <w:t>万元，</w:t>
      </w:r>
      <w:r>
        <w:rPr>
          <w:rFonts w:hint="eastAsia" w:ascii="仿宋" w:hAnsi="仿宋" w:eastAsia="仿宋" w:cs="仿宋"/>
          <w:b/>
          <w:bCs/>
          <w:color w:val="000000"/>
          <w:sz w:val="32"/>
          <w:szCs w:val="32"/>
          <w:lang w:eastAsia="zh-CN"/>
        </w:rPr>
        <w:t>下降</w:t>
      </w:r>
      <w:r>
        <w:rPr>
          <w:rFonts w:hint="eastAsia" w:ascii="仿宋" w:hAnsi="仿宋" w:eastAsia="仿宋" w:cs="仿宋"/>
          <w:b/>
          <w:bCs/>
          <w:color w:val="000000"/>
          <w:sz w:val="32"/>
          <w:szCs w:val="32"/>
          <w:lang w:val="en-US" w:eastAsia="zh-CN"/>
        </w:rPr>
        <w:t>11.57</w:t>
      </w:r>
      <w:r>
        <w:rPr>
          <w:rFonts w:hint="eastAsia" w:ascii="仿宋" w:hAnsi="仿宋" w:eastAsia="仿宋" w:cs="仿宋"/>
          <w:b/>
          <w:bCs/>
          <w:color w:val="000000"/>
          <w:sz w:val="32"/>
          <w:szCs w:val="32"/>
        </w:rPr>
        <w:t>%</w:t>
      </w:r>
      <w:r>
        <w:rPr>
          <w:rFonts w:hint="eastAsia" w:ascii="仿宋" w:hAnsi="仿宋" w:eastAsia="仿宋" w:cs="仿宋"/>
          <w:b/>
          <w:sz w:val="32"/>
          <w:szCs w:val="32"/>
          <w:lang w:val="en-US" w:eastAsia="zh-CN"/>
        </w:rPr>
        <w:t>。主要原因是强化经费预算管理，机关运行支出有所下降。</w:t>
      </w:r>
    </w:p>
    <w:p>
      <w:pPr>
        <w:keepNext w:val="0"/>
        <w:keepLines w:val="0"/>
        <w:pageBreakBefore w:val="0"/>
        <w:numPr>
          <w:ilvl w:val="0"/>
          <w:numId w:val="8"/>
        </w:numPr>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sz w:val="32"/>
          <w:szCs w:val="32"/>
        </w:rPr>
      </w:pPr>
      <w:r>
        <w:rPr>
          <w:rFonts w:hint="eastAsia" w:ascii="楷体" w:hAnsi="楷体" w:eastAsia="楷体" w:cs="楷体"/>
          <w:b/>
          <w:color w:val="000000"/>
          <w:sz w:val="32"/>
          <w:szCs w:val="32"/>
        </w:rPr>
        <w:t>政府采购支出情况</w:t>
      </w:r>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eastAsia" w:ascii="楷体" w:hAnsi="楷体" w:eastAsia="楷体" w:cs="楷体"/>
          <w:b/>
          <w:bCs/>
          <w:sz w:val="32"/>
          <w:szCs w:val="32"/>
        </w:rPr>
      </w:pPr>
      <w:r>
        <w:rPr>
          <w:rFonts w:hint="eastAsia" w:ascii="仿宋" w:hAnsi="仿宋" w:eastAsia="仿宋" w:cs="仿宋"/>
          <w:b/>
          <w:bCs/>
          <w:color w:val="000000"/>
          <w:sz w:val="32"/>
          <w:szCs w:val="32"/>
        </w:rPr>
        <w:t>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w:t>
      </w:r>
      <w:r>
        <w:rPr>
          <w:rFonts w:hint="eastAsia" w:ascii="仿宋" w:hAnsi="仿宋" w:eastAsia="仿宋" w:cs="仿宋"/>
          <w:b/>
          <w:bCs/>
          <w:color w:val="000000"/>
          <w:sz w:val="32"/>
          <w:szCs w:val="32"/>
          <w:lang w:eastAsia="zh-CN"/>
        </w:rPr>
        <w:t>省委办公厅</w:t>
      </w:r>
      <w:r>
        <w:rPr>
          <w:rFonts w:hint="eastAsia" w:ascii="仿宋" w:hAnsi="仿宋" w:eastAsia="仿宋" w:cs="仿宋"/>
          <w:b/>
          <w:bCs/>
          <w:color w:val="000000"/>
          <w:sz w:val="32"/>
          <w:szCs w:val="32"/>
        </w:rPr>
        <w:t>政府采购支出总额</w:t>
      </w:r>
      <w:r>
        <w:rPr>
          <w:rFonts w:hint="eastAsia" w:ascii="仿宋" w:hAnsi="仿宋" w:eastAsia="仿宋" w:cs="仿宋"/>
          <w:b/>
          <w:bCs/>
          <w:color w:val="000000"/>
          <w:sz w:val="32"/>
          <w:szCs w:val="32"/>
          <w:lang w:val="en-US" w:eastAsia="zh-CN"/>
        </w:rPr>
        <w:t>236.39</w:t>
      </w:r>
      <w:r>
        <w:rPr>
          <w:rFonts w:hint="eastAsia" w:ascii="仿宋" w:hAnsi="仿宋" w:eastAsia="仿宋" w:cs="仿宋"/>
          <w:b/>
          <w:bCs/>
          <w:color w:val="000000"/>
          <w:sz w:val="32"/>
          <w:szCs w:val="32"/>
        </w:rPr>
        <w:t>万元，其中：政府采购货物支出</w:t>
      </w:r>
      <w:r>
        <w:rPr>
          <w:rFonts w:hint="eastAsia" w:ascii="仿宋" w:hAnsi="仿宋" w:eastAsia="仿宋" w:cs="仿宋"/>
          <w:b/>
          <w:bCs/>
          <w:color w:val="000000"/>
          <w:sz w:val="32"/>
          <w:szCs w:val="32"/>
          <w:lang w:val="en-US" w:eastAsia="zh-CN"/>
        </w:rPr>
        <w:t>127.82</w:t>
      </w:r>
      <w:r>
        <w:rPr>
          <w:rFonts w:hint="eastAsia" w:ascii="仿宋" w:hAnsi="仿宋" w:eastAsia="仿宋" w:cs="仿宋"/>
          <w:b/>
          <w:bCs/>
          <w:color w:val="000000"/>
          <w:sz w:val="32"/>
          <w:szCs w:val="32"/>
        </w:rPr>
        <w:t>万元、政府采购服务支出</w:t>
      </w:r>
      <w:r>
        <w:rPr>
          <w:rFonts w:hint="eastAsia" w:ascii="仿宋" w:hAnsi="仿宋" w:eastAsia="仿宋" w:cs="仿宋"/>
          <w:b/>
          <w:bCs/>
          <w:color w:val="000000"/>
          <w:sz w:val="32"/>
          <w:szCs w:val="32"/>
          <w:lang w:val="en-US" w:eastAsia="zh-CN"/>
        </w:rPr>
        <w:t>108.57</w:t>
      </w:r>
      <w:r>
        <w:rPr>
          <w:rFonts w:hint="eastAsia" w:ascii="仿宋" w:hAnsi="仿宋" w:eastAsia="仿宋" w:cs="仿宋"/>
          <w:b/>
          <w:bCs/>
          <w:color w:val="000000"/>
          <w:sz w:val="32"/>
          <w:szCs w:val="32"/>
        </w:rPr>
        <w:t>万元。主要用于</w:t>
      </w:r>
      <w:r>
        <w:rPr>
          <w:rFonts w:hint="eastAsia" w:ascii="仿宋" w:hAnsi="仿宋" w:eastAsia="仿宋" w:cs="仿宋"/>
          <w:b/>
          <w:bCs/>
          <w:color w:val="000000"/>
          <w:sz w:val="32"/>
          <w:szCs w:val="32"/>
          <w:lang w:eastAsia="zh-CN"/>
        </w:rPr>
        <w:t>办公设施设备购置以及公务用车油料、维修、保险</w:t>
      </w:r>
      <w:r>
        <w:rPr>
          <w:rFonts w:hint="default" w:ascii="仿宋" w:hAnsi="仿宋" w:eastAsia="仿宋" w:cs="仿宋"/>
          <w:b/>
          <w:bCs/>
          <w:color w:val="000000"/>
          <w:sz w:val="32"/>
          <w:szCs w:val="32"/>
        </w:rPr>
        <w:t>等</w:t>
      </w:r>
      <w:r>
        <w:rPr>
          <w:rFonts w:hint="eastAsia" w:ascii="仿宋" w:hAnsi="仿宋" w:eastAsia="仿宋" w:cs="仿宋"/>
          <w:b/>
          <w:bCs/>
          <w:color w:val="000000"/>
          <w:sz w:val="32"/>
          <w:szCs w:val="32"/>
          <w:lang w:eastAsia="zh-CN"/>
        </w:rPr>
        <w:t>服务采购支出</w:t>
      </w:r>
      <w:r>
        <w:rPr>
          <w:rFonts w:hint="eastAsia" w:ascii="仿宋" w:hAnsi="仿宋" w:eastAsia="仿宋" w:cs="仿宋"/>
          <w:b/>
          <w:bCs/>
          <w:color w:val="000000"/>
          <w:sz w:val="32"/>
          <w:szCs w:val="32"/>
        </w:rPr>
        <w:t>。授予中小企业合同金额</w:t>
      </w:r>
      <w:r>
        <w:rPr>
          <w:rFonts w:hint="eastAsia" w:ascii="仿宋" w:hAnsi="仿宋" w:eastAsia="仿宋" w:cs="仿宋"/>
          <w:b/>
          <w:bCs/>
          <w:color w:val="000000"/>
          <w:sz w:val="32"/>
          <w:szCs w:val="32"/>
          <w:lang w:val="en-US" w:eastAsia="zh-CN"/>
        </w:rPr>
        <w:t>66.74</w:t>
      </w:r>
      <w:r>
        <w:rPr>
          <w:rFonts w:hint="eastAsia" w:ascii="仿宋" w:hAnsi="仿宋" w:eastAsia="仿宋" w:cs="仿宋"/>
          <w:b/>
          <w:bCs/>
          <w:color w:val="000000"/>
          <w:sz w:val="32"/>
          <w:szCs w:val="32"/>
        </w:rPr>
        <w:t>万元，占政府采购支出总额的</w:t>
      </w:r>
      <w:r>
        <w:rPr>
          <w:rFonts w:hint="eastAsia" w:ascii="仿宋" w:hAnsi="仿宋" w:eastAsia="仿宋" w:cs="仿宋"/>
          <w:b/>
          <w:bCs/>
          <w:color w:val="000000"/>
          <w:sz w:val="32"/>
          <w:szCs w:val="32"/>
          <w:lang w:val="en-US" w:eastAsia="zh-CN"/>
        </w:rPr>
        <w:t>28.23</w:t>
      </w:r>
      <w:r>
        <w:rPr>
          <w:rFonts w:hint="eastAsia" w:ascii="仿宋" w:hAnsi="仿宋" w:eastAsia="仿宋" w:cs="仿宋"/>
          <w:b/>
          <w:bCs/>
          <w:color w:val="000000"/>
          <w:sz w:val="32"/>
          <w:szCs w:val="32"/>
        </w:rPr>
        <w:t>%，其中：授予小微企业合同金额</w:t>
      </w:r>
      <w:r>
        <w:rPr>
          <w:rFonts w:hint="eastAsia" w:ascii="仿宋" w:hAnsi="仿宋" w:eastAsia="仿宋" w:cs="仿宋"/>
          <w:b/>
          <w:bCs/>
          <w:color w:val="000000"/>
          <w:sz w:val="32"/>
          <w:szCs w:val="32"/>
          <w:lang w:val="en-US" w:eastAsia="zh-CN"/>
        </w:rPr>
        <w:t>66.74</w:t>
      </w:r>
      <w:r>
        <w:rPr>
          <w:rFonts w:hint="eastAsia" w:ascii="仿宋" w:hAnsi="仿宋" w:eastAsia="仿宋" w:cs="仿宋"/>
          <w:b/>
          <w:bCs/>
          <w:color w:val="000000"/>
          <w:sz w:val="32"/>
          <w:szCs w:val="32"/>
        </w:rPr>
        <w:t>万元，占政府采购支出总额的</w:t>
      </w:r>
      <w:r>
        <w:rPr>
          <w:rFonts w:hint="eastAsia" w:ascii="仿宋" w:hAnsi="仿宋" w:eastAsia="仿宋" w:cs="仿宋"/>
          <w:b/>
          <w:bCs/>
          <w:color w:val="000000"/>
          <w:sz w:val="32"/>
          <w:szCs w:val="32"/>
          <w:lang w:val="en-US" w:eastAsia="zh-CN"/>
        </w:rPr>
        <w:t>28.23</w:t>
      </w:r>
      <w:r>
        <w:rPr>
          <w:rFonts w:hint="eastAsia" w:ascii="仿宋" w:hAnsi="仿宋" w:eastAsia="仿宋" w:cs="仿宋"/>
          <w:b/>
          <w:bCs/>
          <w:color w:val="000000"/>
          <w:sz w:val="32"/>
          <w:szCs w:val="32"/>
        </w:rPr>
        <w:t>%。</w:t>
      </w:r>
    </w:p>
    <w:p>
      <w:pPr>
        <w:keepNext w:val="0"/>
        <w:keepLines w:val="0"/>
        <w:pageBreakBefore w:val="0"/>
        <w:numPr>
          <w:ilvl w:val="0"/>
          <w:numId w:val="8"/>
        </w:numPr>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color w:val="000000"/>
          <w:sz w:val="32"/>
          <w:szCs w:val="32"/>
        </w:rPr>
      </w:pPr>
      <w:r>
        <w:rPr>
          <w:rFonts w:hint="eastAsia" w:ascii="楷体" w:hAnsi="楷体" w:eastAsia="楷体" w:cs="楷体"/>
          <w:b/>
          <w:color w:val="000000"/>
          <w:sz w:val="32"/>
          <w:szCs w:val="32"/>
        </w:rPr>
        <w:t>国有资产占有使用情况</w:t>
      </w:r>
    </w:p>
    <w:p>
      <w:pPr>
        <w:keepNext w:val="0"/>
        <w:keepLines w:val="0"/>
        <w:pageBreakBefore w:val="0"/>
        <w:kinsoku/>
        <w:wordWrap/>
        <w:overflowPunct/>
        <w:topLinePunct w:val="0"/>
        <w:autoSpaceDE/>
        <w:autoSpaceDN/>
        <w:bidi w:val="0"/>
        <w:adjustRightInd w:val="0"/>
        <w:snapToGrid w:val="0"/>
        <w:spacing w:line="600" w:lineRule="exact"/>
        <w:ind w:firstLine="640"/>
        <w:textAlignment w:val="auto"/>
        <w:rPr>
          <w:rFonts w:hint="eastAsia" w:ascii="仿宋" w:hAnsi="仿宋" w:eastAsia="仿宋" w:cs="仿宋"/>
          <w:b/>
          <w:bCs/>
          <w:color w:val="000000"/>
          <w:sz w:val="32"/>
          <w:szCs w:val="32"/>
        </w:rPr>
      </w:pPr>
      <w:r>
        <w:rPr>
          <w:rFonts w:hint="eastAsia" w:ascii="仿宋" w:hAnsi="仿宋" w:eastAsia="仿宋" w:cs="仿宋"/>
          <w:b/>
          <w:bCs/>
          <w:color w:val="000000"/>
          <w:sz w:val="32"/>
          <w:szCs w:val="32"/>
        </w:rPr>
        <w:t>截至20</w:t>
      </w:r>
      <w:r>
        <w:rPr>
          <w:rFonts w:hint="eastAsia" w:ascii="仿宋" w:hAnsi="仿宋" w:eastAsia="仿宋" w:cs="仿宋"/>
          <w:b/>
          <w:bCs/>
          <w:color w:val="000000"/>
          <w:sz w:val="32"/>
          <w:szCs w:val="32"/>
          <w:lang w:val="en-US" w:eastAsia="zh-CN"/>
        </w:rPr>
        <w:t>20</w:t>
      </w:r>
      <w:r>
        <w:rPr>
          <w:rFonts w:hint="eastAsia" w:ascii="仿宋" w:hAnsi="仿宋" w:eastAsia="仿宋" w:cs="仿宋"/>
          <w:b/>
          <w:bCs/>
          <w:color w:val="000000"/>
          <w:sz w:val="32"/>
          <w:szCs w:val="32"/>
        </w:rPr>
        <w:t>年12月31日，</w:t>
      </w:r>
      <w:r>
        <w:rPr>
          <w:rFonts w:hint="eastAsia" w:ascii="仿宋" w:hAnsi="仿宋" w:eastAsia="仿宋" w:cs="仿宋"/>
          <w:b/>
          <w:bCs/>
          <w:color w:val="000000"/>
          <w:sz w:val="32"/>
          <w:szCs w:val="32"/>
          <w:lang w:eastAsia="zh-CN"/>
        </w:rPr>
        <w:t>省委办公厅</w:t>
      </w:r>
      <w:r>
        <w:rPr>
          <w:rFonts w:hint="eastAsia" w:ascii="仿宋" w:hAnsi="仿宋" w:eastAsia="仿宋" w:cs="仿宋"/>
          <w:b/>
          <w:bCs/>
          <w:color w:val="000000"/>
          <w:sz w:val="32"/>
          <w:szCs w:val="32"/>
        </w:rPr>
        <w:t>共有车辆</w:t>
      </w:r>
      <w:r>
        <w:rPr>
          <w:rFonts w:hint="eastAsia" w:ascii="仿宋" w:hAnsi="仿宋" w:eastAsia="仿宋" w:cs="仿宋"/>
          <w:b/>
          <w:bCs/>
          <w:color w:val="000000"/>
          <w:sz w:val="32"/>
          <w:szCs w:val="32"/>
          <w:lang w:val="en-US" w:eastAsia="zh-CN"/>
        </w:rPr>
        <w:t>74</w:t>
      </w:r>
      <w:r>
        <w:rPr>
          <w:rFonts w:hint="eastAsia" w:ascii="仿宋" w:hAnsi="仿宋" w:eastAsia="仿宋" w:cs="仿宋"/>
          <w:b/>
          <w:bCs/>
          <w:color w:val="000000"/>
          <w:sz w:val="32"/>
          <w:szCs w:val="32"/>
        </w:rPr>
        <w:t>辆，其中：主要领导干部用车</w:t>
      </w:r>
      <w:r>
        <w:rPr>
          <w:rFonts w:hint="eastAsia" w:ascii="仿宋" w:hAnsi="仿宋" w:eastAsia="仿宋" w:cs="仿宋"/>
          <w:b/>
          <w:bCs/>
          <w:color w:val="000000"/>
          <w:sz w:val="32"/>
          <w:szCs w:val="32"/>
          <w:lang w:val="en-US" w:eastAsia="zh-CN"/>
        </w:rPr>
        <w:t>19</w:t>
      </w:r>
      <w:r>
        <w:rPr>
          <w:rFonts w:hint="eastAsia" w:ascii="仿宋" w:hAnsi="仿宋" w:eastAsia="仿宋" w:cs="仿宋"/>
          <w:b/>
          <w:bCs/>
          <w:color w:val="000000"/>
          <w:sz w:val="32"/>
          <w:szCs w:val="32"/>
        </w:rPr>
        <w:t>辆、机要通信用车</w:t>
      </w:r>
      <w:r>
        <w:rPr>
          <w:rFonts w:hint="eastAsia" w:ascii="仿宋" w:hAnsi="仿宋" w:eastAsia="仿宋" w:cs="仿宋"/>
          <w:b/>
          <w:bCs/>
          <w:color w:val="000000"/>
          <w:sz w:val="32"/>
          <w:szCs w:val="32"/>
          <w:lang w:val="en-US" w:eastAsia="zh-CN"/>
        </w:rPr>
        <w:t>0</w:t>
      </w:r>
      <w:r>
        <w:rPr>
          <w:rFonts w:hint="eastAsia" w:ascii="仿宋" w:hAnsi="仿宋" w:eastAsia="仿宋" w:cs="仿宋"/>
          <w:b/>
          <w:bCs/>
          <w:color w:val="000000"/>
          <w:sz w:val="32"/>
          <w:szCs w:val="32"/>
        </w:rPr>
        <w:t>辆、应急保障用车</w:t>
      </w:r>
      <w:r>
        <w:rPr>
          <w:rFonts w:hint="eastAsia" w:ascii="仿宋" w:hAnsi="仿宋" w:eastAsia="仿宋" w:cs="仿宋"/>
          <w:b/>
          <w:bCs/>
          <w:color w:val="000000"/>
          <w:sz w:val="32"/>
          <w:szCs w:val="32"/>
          <w:lang w:val="en-US" w:eastAsia="zh-CN"/>
        </w:rPr>
        <w:t>0</w:t>
      </w:r>
      <w:r>
        <w:rPr>
          <w:rFonts w:hint="eastAsia" w:ascii="仿宋" w:hAnsi="仿宋" w:eastAsia="仿宋" w:cs="仿宋"/>
          <w:b/>
          <w:bCs/>
          <w:color w:val="000000"/>
          <w:sz w:val="32"/>
          <w:szCs w:val="32"/>
        </w:rPr>
        <w:t>辆、其他用车</w:t>
      </w:r>
      <w:r>
        <w:rPr>
          <w:rFonts w:hint="eastAsia" w:ascii="仿宋" w:hAnsi="仿宋" w:eastAsia="仿宋" w:cs="仿宋"/>
          <w:b/>
          <w:bCs/>
          <w:color w:val="000000"/>
          <w:sz w:val="32"/>
          <w:szCs w:val="32"/>
          <w:lang w:val="en-US" w:eastAsia="zh-CN"/>
        </w:rPr>
        <w:t>55</w:t>
      </w:r>
      <w:r>
        <w:rPr>
          <w:rFonts w:hint="eastAsia" w:ascii="仿宋" w:hAnsi="仿宋" w:eastAsia="仿宋" w:cs="仿宋"/>
          <w:b/>
          <w:bCs/>
          <w:color w:val="000000"/>
          <w:sz w:val="32"/>
          <w:szCs w:val="32"/>
        </w:rPr>
        <w:t>辆</w:t>
      </w:r>
      <w:r>
        <w:rPr>
          <w:rFonts w:hint="eastAsia" w:ascii="仿宋" w:hAnsi="仿宋" w:eastAsia="仿宋" w:cs="仿宋"/>
          <w:b/>
          <w:bCs/>
          <w:color w:val="000000"/>
          <w:sz w:val="32"/>
          <w:szCs w:val="32"/>
          <w:lang w:eastAsia="zh-CN"/>
        </w:rPr>
        <w:t>，</w:t>
      </w:r>
      <w:r>
        <w:rPr>
          <w:rFonts w:hint="eastAsia" w:ascii="仿宋" w:hAnsi="仿宋" w:eastAsia="仿宋" w:cs="仿宋"/>
          <w:b/>
          <w:bCs/>
          <w:color w:val="000000"/>
          <w:sz w:val="32"/>
          <w:szCs w:val="32"/>
        </w:rPr>
        <w:t>其他用车主要用于</w:t>
      </w:r>
      <w:r>
        <w:rPr>
          <w:rFonts w:hint="eastAsia" w:ascii="仿宋" w:hAnsi="仿宋" w:eastAsia="仿宋" w:cs="仿宋"/>
          <w:b/>
          <w:bCs/>
          <w:color w:val="000000"/>
          <w:sz w:val="32"/>
          <w:szCs w:val="32"/>
          <w:lang w:eastAsia="zh-CN"/>
        </w:rPr>
        <w:t>保障省委办公厅日常工作正常开展。</w:t>
      </w:r>
      <w:r>
        <w:rPr>
          <w:rFonts w:hint="eastAsia" w:ascii="仿宋" w:hAnsi="仿宋" w:eastAsia="仿宋" w:cs="仿宋"/>
          <w:b/>
          <w:bCs/>
          <w:color w:val="000000"/>
          <w:sz w:val="32"/>
          <w:szCs w:val="32"/>
        </w:rPr>
        <w:t>单价50万元以上通用设备</w:t>
      </w:r>
      <w:r>
        <w:rPr>
          <w:rFonts w:hint="eastAsia" w:ascii="仿宋" w:hAnsi="仿宋" w:eastAsia="仿宋" w:cs="仿宋"/>
          <w:b/>
          <w:bCs/>
          <w:color w:val="000000"/>
          <w:sz w:val="32"/>
          <w:szCs w:val="32"/>
          <w:lang w:val="en-US" w:eastAsia="zh-CN"/>
        </w:rPr>
        <w:t>0</w:t>
      </w:r>
      <w:r>
        <w:rPr>
          <w:rFonts w:hint="eastAsia" w:ascii="仿宋" w:hAnsi="仿宋" w:eastAsia="仿宋" w:cs="仿宋"/>
          <w:b/>
          <w:bCs/>
          <w:color w:val="000000"/>
          <w:sz w:val="32"/>
          <w:szCs w:val="32"/>
        </w:rPr>
        <w:t>台（套），单价100万元以上专用设备</w:t>
      </w:r>
      <w:r>
        <w:rPr>
          <w:rFonts w:hint="eastAsia" w:ascii="仿宋" w:hAnsi="仿宋" w:eastAsia="仿宋" w:cs="仿宋"/>
          <w:b/>
          <w:bCs/>
          <w:color w:val="000000"/>
          <w:sz w:val="32"/>
          <w:szCs w:val="32"/>
          <w:lang w:val="en-US" w:eastAsia="zh-CN"/>
        </w:rPr>
        <w:t>0</w:t>
      </w:r>
      <w:r>
        <w:rPr>
          <w:rFonts w:hint="eastAsia" w:ascii="仿宋" w:hAnsi="仿宋" w:eastAsia="仿宋" w:cs="仿宋"/>
          <w:b/>
          <w:bCs/>
          <w:color w:val="000000"/>
          <w:sz w:val="32"/>
          <w:szCs w:val="32"/>
        </w:rPr>
        <w:t>台（套）。</w:t>
      </w:r>
    </w:p>
    <w:p>
      <w:pPr>
        <w:keepNext w:val="0"/>
        <w:keepLines w:val="0"/>
        <w:pageBreakBefore w:val="0"/>
        <w:numPr>
          <w:ilvl w:val="0"/>
          <w:numId w:val="8"/>
        </w:numPr>
        <w:kinsoku/>
        <w:wordWrap/>
        <w:overflowPunct/>
        <w:topLinePunct w:val="0"/>
        <w:autoSpaceDE/>
        <w:autoSpaceDN/>
        <w:bidi w:val="0"/>
        <w:adjustRightInd w:val="0"/>
        <w:snapToGrid w:val="0"/>
        <w:spacing w:line="600" w:lineRule="exact"/>
        <w:ind w:firstLine="643" w:firstLineChars="200"/>
        <w:textAlignment w:val="auto"/>
        <w:rPr>
          <w:rFonts w:hint="eastAsia" w:ascii="楷体" w:hAnsi="楷体" w:eastAsia="楷体" w:cs="楷体"/>
          <w:b/>
          <w:bCs/>
          <w:color w:val="auto"/>
          <w:sz w:val="32"/>
          <w:szCs w:val="32"/>
        </w:rPr>
      </w:pPr>
      <w:r>
        <w:rPr>
          <w:rFonts w:hint="eastAsia" w:ascii="楷体" w:hAnsi="楷体" w:eastAsia="楷体" w:cs="楷体"/>
          <w:b/>
          <w:bCs/>
          <w:color w:val="auto"/>
          <w:sz w:val="32"/>
          <w:szCs w:val="32"/>
        </w:rPr>
        <w:t>预算绩效管理情况</w:t>
      </w:r>
    </w:p>
    <w:p>
      <w:pPr>
        <w:keepNext w:val="0"/>
        <w:keepLines w:val="0"/>
        <w:pageBreakBefore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根据预算绩效管理要求，本</w:t>
      </w:r>
      <w:r>
        <w:rPr>
          <w:rFonts w:hint="eastAsia" w:ascii="仿宋" w:hAnsi="仿宋" w:eastAsia="仿宋" w:cs="仿宋"/>
          <w:b/>
          <w:bCs/>
          <w:sz w:val="32"/>
          <w:szCs w:val="32"/>
          <w:lang w:eastAsia="zh-CN"/>
        </w:rPr>
        <w:t>单位</w:t>
      </w:r>
      <w:r>
        <w:rPr>
          <w:rFonts w:hint="eastAsia" w:ascii="仿宋" w:hAnsi="仿宋" w:eastAsia="仿宋" w:cs="仿宋"/>
          <w:b/>
          <w:bCs/>
          <w:sz w:val="32"/>
          <w:szCs w:val="32"/>
        </w:rPr>
        <w:t>在</w:t>
      </w:r>
      <w:r>
        <w:rPr>
          <w:rFonts w:hint="eastAsia" w:ascii="仿宋" w:hAnsi="仿宋" w:eastAsia="仿宋" w:cs="仿宋"/>
          <w:b/>
          <w:bCs/>
          <w:sz w:val="32"/>
          <w:szCs w:val="32"/>
          <w:lang w:val="en-US" w:eastAsia="zh-CN"/>
        </w:rPr>
        <w:t>2020</w:t>
      </w:r>
      <w:r>
        <w:rPr>
          <w:rFonts w:hint="eastAsia" w:ascii="仿宋" w:hAnsi="仿宋" w:eastAsia="仿宋" w:cs="仿宋"/>
          <w:b/>
          <w:bCs/>
          <w:sz w:val="32"/>
          <w:szCs w:val="32"/>
        </w:rPr>
        <w:t>年</w:t>
      </w:r>
      <w:r>
        <w:rPr>
          <w:rFonts w:hint="eastAsia" w:ascii="仿宋" w:hAnsi="仿宋" w:eastAsia="仿宋" w:cs="仿宋"/>
          <w:b/>
          <w:bCs/>
          <w:sz w:val="32"/>
          <w:szCs w:val="32"/>
          <w:lang w:eastAsia="zh-CN"/>
        </w:rPr>
        <w:t>度</w:t>
      </w:r>
      <w:r>
        <w:rPr>
          <w:rFonts w:hint="eastAsia" w:ascii="仿宋" w:hAnsi="仿宋" w:eastAsia="仿宋" w:cs="仿宋"/>
          <w:b/>
          <w:bCs/>
          <w:sz w:val="32"/>
          <w:szCs w:val="32"/>
        </w:rPr>
        <w:t>预算编制阶段，组织对</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个项目编制了绩效目标，预算执行过程中，选取</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个项目开展绩效监控，年终执行完毕后，对</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个项目开展了绩效目标完成情况自评。</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本</w:t>
      </w:r>
      <w:r>
        <w:rPr>
          <w:rFonts w:hint="eastAsia" w:ascii="仿宋" w:hAnsi="仿宋" w:eastAsia="仿宋" w:cs="仿宋"/>
          <w:b/>
          <w:bCs/>
          <w:sz w:val="32"/>
          <w:szCs w:val="32"/>
          <w:lang w:eastAsia="zh-CN"/>
        </w:rPr>
        <w:t>单位</w:t>
      </w:r>
      <w:r>
        <w:rPr>
          <w:rFonts w:hint="eastAsia" w:ascii="仿宋" w:hAnsi="仿宋" w:eastAsia="仿宋" w:cs="仿宋"/>
          <w:b/>
          <w:bCs/>
          <w:sz w:val="32"/>
          <w:szCs w:val="32"/>
        </w:rPr>
        <w:t>按要求对20</w:t>
      </w: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年</w:t>
      </w:r>
      <w:r>
        <w:rPr>
          <w:rFonts w:hint="eastAsia" w:ascii="仿宋" w:hAnsi="仿宋" w:eastAsia="仿宋" w:cs="仿宋"/>
          <w:b/>
          <w:bCs/>
          <w:sz w:val="32"/>
          <w:szCs w:val="32"/>
          <w:lang w:eastAsia="zh-CN"/>
        </w:rPr>
        <w:t>单位</w:t>
      </w:r>
      <w:r>
        <w:rPr>
          <w:rFonts w:hint="eastAsia" w:ascii="仿宋" w:hAnsi="仿宋" w:eastAsia="仿宋" w:cs="仿宋"/>
          <w:b/>
          <w:bCs/>
          <w:sz w:val="32"/>
          <w:szCs w:val="32"/>
        </w:rPr>
        <w:t>整体支出开展绩效自评，</w:t>
      </w:r>
      <w:r>
        <w:rPr>
          <w:rFonts w:hint="eastAsia" w:ascii="仿宋" w:hAnsi="仿宋" w:eastAsia="仿宋" w:cs="仿宋"/>
          <w:b/>
          <w:sz w:val="32"/>
          <w:szCs w:val="32"/>
          <w:lang w:val="en-US" w:eastAsia="zh-CN"/>
        </w:rPr>
        <w:t>绩效指标按要求细化量化，单位整体与项目绩效目标实际实现程度与预期目标相符。单位年初预算编制较为准确，2020年全年预算调剂数为281.62万元，占年初预算数的1.88%。基本支出与项目支出预算控制情况良好，单位日常公用经费、项目支出中“办公费、印刷费、水费、电费、物业管理费”等科目年初预算数与决算数偏差程度为3.25%，严格控制在10%以内。积极推进预算绩效运行监控，及时根据监控结果和工作任务变动开展预算动态调整，2020年单位预算财政拨款年末结余注销额为408.60万元。2020年6、9、11月预算执行进度分别为41.17%、69.35%、74.1%，基本达到预算执行序时进度要求。全年预算总执行率为95.39%，</w:t>
      </w:r>
      <w:r>
        <w:rPr>
          <w:rStyle w:val="31"/>
          <w:rFonts w:hint="eastAsia" w:ascii="仿宋" w:hAnsi="仿宋" w:eastAsia="仿宋" w:cs="仿宋"/>
          <w:b/>
          <w:bCs/>
          <w:color w:val="auto"/>
          <w:kern w:val="0"/>
          <w:sz w:val="32"/>
          <w:szCs w:val="32"/>
          <w:highlight w:val="none"/>
          <w:u w:val="none" w:color="auto"/>
          <w:shd w:val="clear" w:color="auto" w:fill="auto"/>
          <w:lang w:val="en-US" w:eastAsia="zh-CN" w:bidi="ar"/>
        </w:rPr>
        <w:t>较好地保障了省委和办公厅各项工作顺利开展。</w:t>
      </w:r>
      <w:r>
        <w:rPr>
          <w:rFonts w:hint="eastAsia" w:ascii="仿宋" w:hAnsi="仿宋" w:eastAsia="仿宋" w:cs="仿宋"/>
          <w:b/>
          <w:sz w:val="32"/>
          <w:szCs w:val="32"/>
          <w:lang w:val="en-US" w:eastAsia="zh-CN"/>
        </w:rPr>
        <w:t>2020年单位预算管理合法合规，未出现任何违纪违规问题。</w:t>
      </w:r>
    </w:p>
    <w:p>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2019年本单位组织开展了6个项目支出绩效评价，从评价情况来看，6个项目年初预算总金额为2312.93万元，实际支出金额为2233.92万元，预算执行率为96.10%，较好地完成了年度绩效目标。本单位无专项预算项目，因此未组织开展专项预算项目支出绩效评价。</w:t>
      </w:r>
    </w:p>
    <w:p>
      <w:pPr>
        <w:keepNext w:val="0"/>
        <w:keepLines w:val="0"/>
        <w:pageBreakBefore w:val="0"/>
        <w:numPr>
          <w:ilvl w:val="0"/>
          <w:numId w:val="9"/>
        </w:numPr>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项目绩效目标完成情况</w:t>
      </w:r>
      <w:r>
        <w:rPr>
          <w:rFonts w:hint="default" w:ascii="Times New Roman" w:hAnsi="Times New Roman" w:eastAsia="楷体_GB2312" w:cs="Times New Roman"/>
          <w:b/>
          <w:bCs/>
          <w:sz w:val="32"/>
          <w:szCs w:val="32"/>
        </w:rPr>
        <w:br w:type="textWrapping"/>
      </w:r>
      <w:r>
        <w:rPr>
          <w:rFonts w:hint="default" w:ascii="Times New Roman" w:hAnsi="Times New Roman" w:eastAsia="仿宋_GB2312" w:cs="Times New Roman"/>
          <w:b/>
          <w:bCs/>
          <w:sz w:val="32"/>
          <w:szCs w:val="32"/>
        </w:rPr>
        <w:t xml:space="preserve">   </w:t>
      </w:r>
      <w:r>
        <w:rPr>
          <w:rFonts w:hint="eastAsia" w:ascii="仿宋" w:hAnsi="仿宋" w:eastAsia="仿宋" w:cs="仿宋"/>
          <w:b/>
          <w:bCs/>
          <w:sz w:val="32"/>
          <w:szCs w:val="32"/>
        </w:rPr>
        <w:t xml:space="preserve"> 本</w:t>
      </w:r>
      <w:r>
        <w:rPr>
          <w:rFonts w:hint="eastAsia" w:ascii="仿宋" w:hAnsi="仿宋" w:eastAsia="仿宋" w:cs="仿宋"/>
          <w:b/>
          <w:bCs/>
          <w:sz w:val="32"/>
          <w:szCs w:val="32"/>
          <w:lang w:eastAsia="zh-CN"/>
        </w:rPr>
        <w:t>单位</w:t>
      </w:r>
      <w:r>
        <w:rPr>
          <w:rFonts w:hint="eastAsia" w:ascii="仿宋" w:hAnsi="仿宋" w:eastAsia="仿宋" w:cs="仿宋"/>
          <w:b/>
          <w:bCs/>
          <w:sz w:val="32"/>
          <w:szCs w:val="32"/>
        </w:rPr>
        <w:t>在20</w:t>
      </w: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年度部门决算中反映</w:t>
      </w:r>
      <w:r>
        <w:rPr>
          <w:rFonts w:hint="eastAsia" w:ascii="仿宋" w:hAnsi="仿宋" w:eastAsia="仿宋" w:cs="仿宋"/>
          <w:b/>
          <w:bCs/>
          <w:sz w:val="32"/>
          <w:szCs w:val="32"/>
          <w:lang w:eastAsia="zh-CN"/>
        </w:rPr>
        <w:t>“省委</w:t>
      </w:r>
      <w:r>
        <w:rPr>
          <w:rFonts w:hint="eastAsia" w:ascii="仿宋" w:hAnsi="仿宋" w:eastAsia="仿宋" w:cs="仿宋"/>
          <w:b/>
          <w:sz w:val="32"/>
          <w:szCs w:val="32"/>
          <w:lang w:val="en-US" w:eastAsia="zh-CN"/>
        </w:rPr>
        <w:t>办公厅专项工作经费</w:t>
      </w:r>
      <w:r>
        <w:rPr>
          <w:rFonts w:hint="eastAsia" w:ascii="仿宋" w:hAnsi="仿宋" w:eastAsia="仿宋" w:cs="仿宋"/>
          <w:b/>
          <w:bCs/>
          <w:sz w:val="32"/>
          <w:szCs w:val="32"/>
          <w:lang w:eastAsia="zh-CN"/>
        </w:rPr>
        <w:t>”、“</w:t>
      </w:r>
      <w:r>
        <w:rPr>
          <w:rFonts w:hint="eastAsia" w:ascii="仿宋" w:hAnsi="仿宋" w:eastAsia="仿宋" w:cs="仿宋"/>
          <w:b/>
          <w:sz w:val="32"/>
          <w:szCs w:val="32"/>
          <w:lang w:val="en-US" w:eastAsia="zh-CN"/>
        </w:rPr>
        <w:t>省委办公厅大宗文印费</w:t>
      </w:r>
      <w:r>
        <w:rPr>
          <w:rFonts w:hint="eastAsia" w:ascii="仿宋" w:hAnsi="仿宋" w:eastAsia="仿宋" w:cs="仿宋"/>
          <w:b/>
          <w:bCs/>
          <w:sz w:val="32"/>
          <w:szCs w:val="32"/>
          <w:lang w:eastAsia="zh-CN"/>
        </w:rPr>
        <w:t>”、“</w:t>
      </w:r>
      <w:r>
        <w:rPr>
          <w:rFonts w:hint="eastAsia" w:ascii="仿宋" w:hAnsi="仿宋" w:eastAsia="仿宋" w:cs="仿宋"/>
          <w:b/>
          <w:sz w:val="32"/>
          <w:szCs w:val="32"/>
          <w:lang w:val="en-US" w:eastAsia="zh-CN"/>
        </w:rPr>
        <w:t>信息化建设及运行维护经费</w:t>
      </w:r>
      <w:r>
        <w:rPr>
          <w:rFonts w:hint="eastAsia" w:ascii="仿宋" w:hAnsi="仿宋" w:eastAsia="仿宋" w:cs="仿宋"/>
          <w:b/>
          <w:bCs/>
          <w:sz w:val="32"/>
          <w:szCs w:val="32"/>
          <w:lang w:eastAsia="zh-CN"/>
        </w:rPr>
        <w:t>”、“</w:t>
      </w:r>
      <w:r>
        <w:rPr>
          <w:rFonts w:hint="eastAsia" w:ascii="仿宋" w:hAnsi="仿宋" w:eastAsia="仿宋" w:cs="仿宋"/>
          <w:b/>
          <w:sz w:val="32"/>
          <w:szCs w:val="32"/>
          <w:lang w:val="en-US" w:eastAsia="zh-CN"/>
        </w:rPr>
        <w:t>设备购置经费</w:t>
      </w:r>
      <w:r>
        <w:rPr>
          <w:rFonts w:hint="eastAsia" w:ascii="仿宋" w:hAnsi="仿宋" w:eastAsia="仿宋" w:cs="仿宋"/>
          <w:b/>
          <w:bCs/>
          <w:sz w:val="32"/>
          <w:szCs w:val="32"/>
          <w:lang w:eastAsia="zh-CN"/>
        </w:rPr>
        <w:t>”以及“</w:t>
      </w:r>
      <w:r>
        <w:rPr>
          <w:rFonts w:hint="eastAsia" w:ascii="仿宋" w:hAnsi="仿宋" w:eastAsia="仿宋" w:cs="仿宋"/>
          <w:b/>
          <w:sz w:val="32"/>
          <w:szCs w:val="32"/>
          <w:lang w:val="en-US" w:eastAsia="zh-CN"/>
        </w:rPr>
        <w:t>老干部工作经费</w:t>
      </w:r>
      <w:r>
        <w:rPr>
          <w:rFonts w:hint="eastAsia" w:ascii="仿宋" w:hAnsi="仿宋" w:eastAsia="仿宋" w:cs="仿宋"/>
          <w:b/>
          <w:bCs/>
          <w:sz w:val="32"/>
          <w:szCs w:val="32"/>
          <w:lang w:eastAsia="zh-CN"/>
        </w:rPr>
        <w:t>”</w:t>
      </w:r>
      <w:r>
        <w:rPr>
          <w:rFonts w:hint="eastAsia" w:ascii="仿宋" w:hAnsi="仿宋" w:eastAsia="仿宋" w:cs="仿宋"/>
          <w:b/>
          <w:bCs/>
          <w:sz w:val="32"/>
          <w:szCs w:val="32"/>
          <w:lang w:val="en-US" w:eastAsia="zh-CN"/>
        </w:rPr>
        <w:t>的</w:t>
      </w:r>
      <w:r>
        <w:rPr>
          <w:rFonts w:hint="eastAsia" w:ascii="仿宋" w:hAnsi="仿宋" w:eastAsia="仿宋" w:cs="仿宋"/>
          <w:b/>
          <w:bCs/>
          <w:sz w:val="32"/>
          <w:szCs w:val="32"/>
        </w:rPr>
        <w:t>绩效目标实际完成情况。</w:t>
      </w:r>
    </w:p>
    <w:p>
      <w:pPr>
        <w:keepNext w:val="0"/>
        <w:keepLines w:val="0"/>
        <w:pageBreakBefore w:val="0"/>
        <w:widowControl/>
        <w:numPr>
          <w:ilvl w:val="0"/>
          <w:numId w:val="0"/>
        </w:numPr>
        <w:kinsoku/>
        <w:wordWrap/>
        <w:overflowPunct/>
        <w:topLinePunct w:val="0"/>
        <w:autoSpaceDE/>
        <w:autoSpaceDN/>
        <w:bidi w:val="0"/>
        <w:adjustRightInd w:val="0"/>
        <w:snapToGrid w:val="0"/>
        <w:spacing w:after="257" w:afterLines="82" w:afterAutospacing="0" w:line="600" w:lineRule="exact"/>
        <w:ind w:right="-153" w:rightChars="-73" w:firstLine="643" w:firstLineChars="200"/>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1）省委办公厅专项工作经费年初预算860.05万元，预算执行中调增140万元，年度实际执行1000.05万元，预算执行率为100%，圆满完成省委机关后勤服务保障工作和省委领导会见会谈工作，为省委办公厅劳务派遣人员提供了劳务支持。</w:t>
      </w:r>
    </w:p>
    <w:tbl>
      <w:tblPr>
        <w:tblStyle w:val="13"/>
        <w:tblW w:w="8312" w:type="dxa"/>
        <w:tblInd w:w="0" w:type="dxa"/>
        <w:shd w:val="clear" w:color="auto" w:fill="auto"/>
        <w:tblLayout w:type="fixed"/>
        <w:tblCellMar>
          <w:top w:w="0" w:type="dxa"/>
          <w:left w:w="0" w:type="dxa"/>
          <w:bottom w:w="0" w:type="dxa"/>
          <w:right w:w="0" w:type="dxa"/>
        </w:tblCellMar>
      </w:tblPr>
      <w:tblGrid>
        <w:gridCol w:w="735"/>
        <w:gridCol w:w="1189"/>
        <w:gridCol w:w="1188"/>
        <w:gridCol w:w="1987"/>
        <w:gridCol w:w="1900"/>
        <w:gridCol w:w="1313"/>
      </w:tblGrid>
      <w:tr>
        <w:tblPrEx>
          <w:shd w:val="clear" w:color="auto" w:fill="auto"/>
          <w:tblCellMar>
            <w:top w:w="0" w:type="dxa"/>
            <w:left w:w="0" w:type="dxa"/>
            <w:bottom w:w="0" w:type="dxa"/>
            <w:right w:w="0" w:type="dxa"/>
          </w:tblCellMar>
        </w:tblPrEx>
        <w:trPr>
          <w:trHeight w:val="585" w:hRule="atLeast"/>
        </w:trPr>
        <w:tc>
          <w:tcPr>
            <w:tcW w:w="8312"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Autospacing="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 xml:space="preserve">项目绩效目标完成情况表 </w:t>
            </w:r>
            <w:r>
              <w:rPr>
                <w:rFonts w:hint="eastAsia" w:ascii="仿宋" w:hAnsi="仿宋" w:eastAsia="仿宋" w:cs="仿宋"/>
                <w:b/>
                <w:bCs/>
                <w:i w:val="0"/>
                <w:color w:val="000000"/>
                <w:kern w:val="0"/>
                <w:sz w:val="24"/>
                <w:szCs w:val="24"/>
                <w:u w:val="none"/>
                <w:lang w:val="en-US" w:eastAsia="zh-CN" w:bidi="ar"/>
              </w:rPr>
              <w:br w:type="textWrapping"/>
            </w:r>
            <w:r>
              <w:rPr>
                <w:rFonts w:hint="eastAsia" w:ascii="仿宋" w:hAnsi="仿宋" w:eastAsia="仿宋" w:cs="仿宋"/>
                <w:b/>
                <w:bCs/>
                <w:i w:val="0"/>
                <w:color w:val="000000"/>
                <w:kern w:val="0"/>
                <w:sz w:val="24"/>
                <w:szCs w:val="24"/>
                <w:u w:val="none"/>
                <w:lang w:val="en-US" w:eastAsia="zh-CN" w:bidi="ar"/>
              </w:rPr>
              <w:t>(2020年度)</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项目名称</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省委办公厅专项工作经费</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预算单位</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中共四川省委办公厅</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预算执行情况(万元)</w:t>
            </w: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预算数:</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sz w:val="20"/>
                <w:szCs w:val="20"/>
                <w:lang w:val="en-US" w:eastAsia="zh-CN"/>
              </w:rPr>
              <w:t>1000.05</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执行数: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1000.05</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sz w:val="20"/>
                <w:szCs w:val="20"/>
                <w:lang w:val="en-US" w:eastAsia="zh-CN"/>
              </w:rPr>
              <w:t>1000.05</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sz w:val="20"/>
                <w:szCs w:val="20"/>
                <w:lang w:val="en-US" w:eastAsia="zh-CN"/>
              </w:rPr>
              <w:t>1000.05</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年度目标完成情况</w:t>
            </w: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预期目标</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实际完成目标</w:t>
            </w:r>
          </w:p>
        </w:tc>
      </w:tr>
      <w:tr>
        <w:tblPrEx>
          <w:shd w:val="clear" w:color="auto" w:fill="auto"/>
          <w:tblCellMar>
            <w:top w:w="0" w:type="dxa"/>
            <w:left w:w="0" w:type="dxa"/>
            <w:bottom w:w="0" w:type="dxa"/>
            <w:right w:w="0" w:type="dxa"/>
          </w:tblCellMar>
        </w:tblPrEx>
        <w:trPr>
          <w:trHeight w:val="91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为办公厅劳务派遣人员提供劳务支持，保证省委机关后勤服务工作正常开展，为省委领导会见会谈工作提供保障。</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圆满完成了后勤服务保障工作和省委领导会见会谈工作，为省委办公厅劳务派遣人员提供了劳务支持。</w:t>
            </w:r>
          </w:p>
        </w:tc>
      </w:tr>
      <w:tr>
        <w:tblPrEx>
          <w:shd w:val="clear" w:color="auto" w:fill="auto"/>
          <w:tblCellMar>
            <w:top w:w="0" w:type="dxa"/>
            <w:left w:w="0" w:type="dxa"/>
            <w:bottom w:w="0" w:type="dxa"/>
            <w:right w:w="0" w:type="dxa"/>
          </w:tblCellMar>
        </w:tblPrEx>
        <w:trPr>
          <w:trHeight w:val="825" w:hRule="atLeast"/>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绩效指标完成情况</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一级指标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二级指标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三级指标</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预期指标值(包含数字及文字描述)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实际完成指标值(包含数字及文字描述)</w:t>
            </w:r>
          </w:p>
        </w:tc>
      </w:tr>
      <w:tr>
        <w:tblPrEx>
          <w:shd w:val="clear" w:color="auto" w:fill="auto"/>
          <w:tblCellMar>
            <w:top w:w="0" w:type="dxa"/>
            <w:left w:w="0" w:type="dxa"/>
            <w:bottom w:w="0" w:type="dxa"/>
            <w:right w:w="0" w:type="dxa"/>
          </w:tblCellMar>
        </w:tblPrEx>
        <w:trPr>
          <w:trHeight w:val="852"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产出</w:t>
            </w:r>
            <w:r>
              <w:rPr>
                <w:rFonts w:hint="eastAsia" w:ascii="仿宋" w:hAnsi="仿宋" w:eastAsia="仿宋" w:cs="仿宋"/>
                <w:b/>
                <w:bCs/>
                <w:i w:val="0"/>
                <w:color w:val="000000"/>
                <w:kern w:val="0"/>
                <w:sz w:val="20"/>
                <w:szCs w:val="20"/>
                <w:u w:val="none"/>
                <w:lang w:val="en-US" w:eastAsia="zh-CN" w:bidi="ar"/>
              </w:rPr>
              <w:t>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数量指标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为办公厅劳务派遣人员提供劳务支持，保障劳务人员合法收益，提高其工作积极性。</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110多名劳务派遣人员及服务人员</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为114名劳务派遣人员提供保障服务</w:t>
            </w:r>
          </w:p>
        </w:tc>
      </w:tr>
      <w:tr>
        <w:tblPrEx>
          <w:shd w:val="clear" w:color="auto" w:fill="auto"/>
          <w:tblCellMar>
            <w:top w:w="0" w:type="dxa"/>
            <w:left w:w="0" w:type="dxa"/>
            <w:bottom w:w="0" w:type="dxa"/>
            <w:right w:w="0" w:type="dxa"/>
          </w:tblCellMar>
        </w:tblPrEx>
        <w:trPr>
          <w:trHeight w:val="677"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color w:val="000000"/>
                <w:kern w:val="0"/>
                <w:sz w:val="20"/>
                <w:szCs w:val="20"/>
                <w:u w:val="none"/>
                <w:lang w:val="en-US" w:eastAsia="zh-CN" w:bidi="ar"/>
              </w:rPr>
              <w:t>数量指标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color w:val="000000"/>
                <w:kern w:val="0"/>
                <w:sz w:val="20"/>
                <w:szCs w:val="20"/>
                <w:u w:val="none"/>
                <w:lang w:val="en-US" w:eastAsia="zh-CN" w:bidi="ar"/>
              </w:rPr>
              <w:t>保障省委领导会谈、座谈顺利开展</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color w:val="000000"/>
                <w:kern w:val="0"/>
                <w:sz w:val="20"/>
                <w:szCs w:val="20"/>
                <w:u w:val="none"/>
                <w:lang w:val="en-US" w:eastAsia="zh-CN" w:bidi="ar"/>
              </w:rPr>
              <w:t>10次</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color w:val="000000"/>
                <w:kern w:val="0"/>
                <w:sz w:val="20"/>
                <w:szCs w:val="20"/>
                <w:u w:val="none"/>
                <w:lang w:val="en-US" w:eastAsia="zh-CN" w:bidi="ar"/>
              </w:rPr>
              <w:t>11次</w:t>
            </w:r>
          </w:p>
        </w:tc>
      </w:tr>
      <w:tr>
        <w:tblPrEx>
          <w:shd w:val="clear" w:color="auto" w:fill="auto"/>
          <w:tblCellMar>
            <w:top w:w="0" w:type="dxa"/>
            <w:left w:w="0" w:type="dxa"/>
            <w:bottom w:w="0" w:type="dxa"/>
            <w:right w:w="0" w:type="dxa"/>
          </w:tblCellMar>
        </w:tblPrEx>
        <w:trPr>
          <w:trHeight w:val="471"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时效指标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20</w:t>
            </w:r>
            <w:r>
              <w:rPr>
                <w:rFonts w:hint="default" w:ascii="仿宋" w:hAnsi="仿宋" w:eastAsia="仿宋" w:cs="仿宋"/>
                <w:b/>
                <w:bCs/>
                <w:i w:val="0"/>
                <w:color w:val="000000"/>
                <w:kern w:val="0"/>
                <w:sz w:val="20"/>
                <w:szCs w:val="20"/>
                <w:u w:val="none"/>
                <w:lang w:eastAsia="zh-CN" w:bidi="ar"/>
              </w:rPr>
              <w:t>20</w:t>
            </w:r>
            <w:r>
              <w:rPr>
                <w:rFonts w:hint="eastAsia" w:ascii="仿宋" w:hAnsi="仿宋" w:eastAsia="仿宋" w:cs="仿宋"/>
                <w:b/>
                <w:bCs/>
                <w:i w:val="0"/>
                <w:color w:val="000000"/>
                <w:kern w:val="0"/>
                <w:sz w:val="20"/>
                <w:szCs w:val="20"/>
                <w:u w:val="none"/>
                <w:lang w:val="en-US" w:eastAsia="zh-CN" w:bidi="ar"/>
              </w:rPr>
              <w:t>年度</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1年</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1年</w:t>
            </w:r>
          </w:p>
        </w:tc>
      </w:tr>
      <w:tr>
        <w:tblPrEx>
          <w:tblCellMar>
            <w:top w:w="0" w:type="dxa"/>
            <w:left w:w="0" w:type="dxa"/>
            <w:bottom w:w="0" w:type="dxa"/>
            <w:right w:w="0" w:type="dxa"/>
          </w:tblCellMar>
        </w:tblPrEx>
        <w:trPr>
          <w:trHeight w:val="656"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可持续影响指标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提供优质的后勤保障服务</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不断提高服务水平</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服务水平有所提高</w:t>
            </w:r>
          </w:p>
        </w:tc>
      </w:tr>
      <w:tr>
        <w:tblPrEx>
          <w:tblCellMar>
            <w:top w:w="0" w:type="dxa"/>
            <w:left w:w="0" w:type="dxa"/>
            <w:bottom w:w="0" w:type="dxa"/>
            <w:right w:w="0" w:type="dxa"/>
          </w:tblCellMar>
        </w:tblPrEx>
        <w:trPr>
          <w:trHeight w:val="555" w:hRule="atLeast"/>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满意度指标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省委领导及办公厅全体干部职工满意度</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i w:val="0"/>
                <w:iCs w:val="0"/>
                <w:color w:val="000000"/>
                <w:kern w:val="0"/>
                <w:sz w:val="20"/>
                <w:szCs w:val="20"/>
                <w:u w:val="none"/>
                <w:lang w:val="en-US" w:eastAsia="zh-CN" w:bidi="ar"/>
              </w:rPr>
              <w:t>满意度＞95%</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97%</w:t>
            </w:r>
          </w:p>
        </w:tc>
      </w:tr>
    </w:tbl>
    <w:p>
      <w:pPr>
        <w:keepNext w:val="0"/>
        <w:keepLines w:val="0"/>
        <w:pageBreakBefore w:val="0"/>
        <w:widowControl/>
        <w:numPr>
          <w:ilvl w:val="0"/>
          <w:numId w:val="10"/>
        </w:numPr>
        <w:kinsoku/>
        <w:wordWrap/>
        <w:overflowPunct/>
        <w:topLinePunct w:val="0"/>
        <w:autoSpaceDE/>
        <w:autoSpaceDN/>
        <w:bidi w:val="0"/>
        <w:adjustRightInd w:val="0"/>
        <w:snapToGrid w:val="0"/>
        <w:spacing w:before="234" w:beforeLines="75" w:beforeAutospacing="0" w:after="237" w:afterLines="75" w:afterAutospacing="0" w:line="600" w:lineRule="exact"/>
        <w:ind w:right="0" w:rightChars="0" w:firstLine="643" w:firstLineChars="200"/>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省委办公厅大宗文印费年初预算377.60万元，年度实际执行320.51万元，预算执行率为84.88%，保障了中央文件翻印和省委文件印制，确保政令畅通。</w:t>
      </w:r>
    </w:p>
    <w:tbl>
      <w:tblPr>
        <w:tblStyle w:val="13"/>
        <w:tblW w:w="8312" w:type="dxa"/>
        <w:tblInd w:w="0" w:type="dxa"/>
        <w:shd w:val="clear" w:color="auto" w:fill="auto"/>
        <w:tblLayout w:type="fixed"/>
        <w:tblCellMar>
          <w:top w:w="0" w:type="dxa"/>
          <w:left w:w="0" w:type="dxa"/>
          <w:bottom w:w="0" w:type="dxa"/>
          <w:right w:w="0" w:type="dxa"/>
        </w:tblCellMar>
      </w:tblPr>
      <w:tblGrid>
        <w:gridCol w:w="735"/>
        <w:gridCol w:w="1189"/>
        <w:gridCol w:w="1188"/>
        <w:gridCol w:w="1987"/>
        <w:gridCol w:w="1900"/>
        <w:gridCol w:w="1313"/>
      </w:tblGrid>
      <w:tr>
        <w:tblPrEx>
          <w:shd w:val="clear" w:color="auto" w:fill="auto"/>
          <w:tblCellMar>
            <w:top w:w="0" w:type="dxa"/>
            <w:left w:w="0" w:type="dxa"/>
            <w:bottom w:w="0" w:type="dxa"/>
            <w:right w:w="0" w:type="dxa"/>
          </w:tblCellMar>
        </w:tblPrEx>
        <w:trPr>
          <w:trHeight w:val="585" w:hRule="atLeast"/>
        </w:trPr>
        <w:tc>
          <w:tcPr>
            <w:tcW w:w="8312"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Autospacing="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 xml:space="preserve">项目绩效目标完成情况表 </w:t>
            </w:r>
            <w:r>
              <w:rPr>
                <w:rFonts w:hint="eastAsia" w:ascii="仿宋" w:hAnsi="仿宋" w:eastAsia="仿宋" w:cs="仿宋"/>
                <w:b/>
                <w:bCs/>
                <w:i w:val="0"/>
                <w:color w:val="000000"/>
                <w:kern w:val="0"/>
                <w:sz w:val="24"/>
                <w:szCs w:val="24"/>
                <w:u w:val="none"/>
                <w:lang w:val="en-US" w:eastAsia="zh-CN" w:bidi="ar"/>
              </w:rPr>
              <w:br w:type="textWrapping"/>
            </w:r>
            <w:r>
              <w:rPr>
                <w:rFonts w:hint="eastAsia" w:ascii="仿宋" w:hAnsi="仿宋" w:eastAsia="仿宋" w:cs="仿宋"/>
                <w:b/>
                <w:bCs/>
                <w:i w:val="0"/>
                <w:color w:val="000000"/>
                <w:kern w:val="0"/>
                <w:sz w:val="24"/>
                <w:szCs w:val="24"/>
                <w:u w:val="none"/>
                <w:lang w:val="en-US" w:eastAsia="zh-CN" w:bidi="ar"/>
              </w:rPr>
              <w:t>(2020年度)</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项目名称</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省委办公厅大宗文印费</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预算单位</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中共四川省委办公厅</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预算执行情况(万元)</w:t>
            </w: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预算数:</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377.60</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执行数: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320.51</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377.60</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320.51</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年度目标完成情况</w:t>
            </w: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预期目标</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实际完成目标</w:t>
            </w:r>
          </w:p>
        </w:tc>
      </w:tr>
      <w:tr>
        <w:tblPrEx>
          <w:shd w:val="clear" w:color="auto" w:fill="auto"/>
          <w:tblCellMar>
            <w:top w:w="0" w:type="dxa"/>
            <w:left w:w="0" w:type="dxa"/>
            <w:bottom w:w="0" w:type="dxa"/>
            <w:right w:w="0" w:type="dxa"/>
          </w:tblCellMar>
        </w:tblPrEx>
        <w:trPr>
          <w:trHeight w:val="70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保证中央文件翻印和省委文件印制，确保政令畅通。</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保障了中央文件翻印和省委文件印制，确保政令畅通。</w:t>
            </w:r>
          </w:p>
        </w:tc>
      </w:tr>
      <w:tr>
        <w:tblPrEx>
          <w:shd w:val="clear" w:color="auto" w:fill="auto"/>
          <w:tblCellMar>
            <w:top w:w="0" w:type="dxa"/>
            <w:left w:w="0" w:type="dxa"/>
            <w:bottom w:w="0" w:type="dxa"/>
            <w:right w:w="0" w:type="dxa"/>
          </w:tblCellMar>
        </w:tblPrEx>
        <w:trPr>
          <w:trHeight w:val="825" w:hRule="atLeast"/>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绩效指标完成情况</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一级指标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二级指标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三级指标</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预期指标值(包含数字及文字描述)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实际完成指标值(包含数字及文字描述)</w:t>
            </w:r>
          </w:p>
        </w:tc>
      </w:tr>
      <w:tr>
        <w:tblPrEx>
          <w:shd w:val="clear" w:color="auto" w:fill="auto"/>
          <w:tblCellMar>
            <w:top w:w="0" w:type="dxa"/>
            <w:left w:w="0" w:type="dxa"/>
            <w:bottom w:w="0" w:type="dxa"/>
            <w:right w:w="0" w:type="dxa"/>
          </w:tblCellMar>
        </w:tblPrEx>
        <w:trPr>
          <w:trHeight w:val="716"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产出</w:t>
            </w:r>
            <w:r>
              <w:rPr>
                <w:rFonts w:hint="eastAsia" w:ascii="仿宋" w:hAnsi="仿宋" w:eastAsia="仿宋" w:cs="仿宋"/>
                <w:b/>
                <w:bCs/>
                <w:i w:val="0"/>
                <w:color w:val="000000"/>
                <w:kern w:val="0"/>
                <w:sz w:val="20"/>
                <w:szCs w:val="20"/>
                <w:u w:val="none"/>
                <w:lang w:val="en-US" w:eastAsia="zh-CN" w:bidi="ar"/>
              </w:rPr>
              <w:t>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质量指标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完成文件印制工作</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高质量完成</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圆满完成全年文件印制工作</w:t>
            </w:r>
          </w:p>
        </w:tc>
      </w:tr>
      <w:tr>
        <w:tblPrEx>
          <w:shd w:val="clear" w:color="auto" w:fill="auto"/>
          <w:tblCellMar>
            <w:top w:w="0" w:type="dxa"/>
            <w:left w:w="0" w:type="dxa"/>
            <w:bottom w:w="0" w:type="dxa"/>
            <w:right w:w="0" w:type="dxa"/>
          </w:tblCellMar>
        </w:tblPrEx>
        <w:trPr>
          <w:trHeight w:val="494"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时效指标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2020年</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1年</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1年</w:t>
            </w:r>
          </w:p>
        </w:tc>
      </w:tr>
      <w:tr>
        <w:tblPrEx>
          <w:shd w:val="clear" w:color="auto" w:fill="auto"/>
          <w:tblCellMar>
            <w:top w:w="0" w:type="dxa"/>
            <w:left w:w="0" w:type="dxa"/>
            <w:bottom w:w="0" w:type="dxa"/>
            <w:right w:w="0" w:type="dxa"/>
          </w:tblCellMar>
        </w:tblPrEx>
        <w:trPr>
          <w:trHeight w:val="514"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0"/>
                <w:szCs w:val="20"/>
                <w:u w:val="none"/>
                <w:lang w:val="en-US" w:eastAsia="zh-CN" w:bidi="ar-SA"/>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成本指标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大宗文印费</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377.6</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320.51</w:t>
            </w:r>
          </w:p>
        </w:tc>
      </w:tr>
      <w:tr>
        <w:tblPrEx>
          <w:tblCellMar>
            <w:top w:w="0" w:type="dxa"/>
            <w:left w:w="0" w:type="dxa"/>
            <w:bottom w:w="0" w:type="dxa"/>
            <w:right w:w="0" w:type="dxa"/>
          </w:tblCellMar>
        </w:tblPrEx>
        <w:trPr>
          <w:trHeight w:val="585"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0"/>
                <w:szCs w:val="20"/>
                <w:u w:val="none"/>
                <w:lang w:val="en-US" w:eastAsia="zh-CN" w:bidi="ar-SA"/>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可持续影响指标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保证中央文件翻印和省委文件印制</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不断提高文印质量</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文印质量有所提高</w:t>
            </w:r>
          </w:p>
        </w:tc>
      </w:tr>
      <w:tr>
        <w:tblPrEx>
          <w:tblCellMar>
            <w:top w:w="0" w:type="dxa"/>
            <w:left w:w="0" w:type="dxa"/>
            <w:bottom w:w="0" w:type="dxa"/>
            <w:right w:w="0" w:type="dxa"/>
          </w:tblCellMar>
        </w:tblPrEx>
        <w:trPr>
          <w:trHeight w:val="555" w:hRule="atLeast"/>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满意度指标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文印服务对象满意度</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i w:val="0"/>
                <w:iCs w:val="0"/>
                <w:color w:val="000000"/>
                <w:kern w:val="0"/>
                <w:sz w:val="20"/>
                <w:szCs w:val="20"/>
                <w:u w:val="none"/>
                <w:lang w:val="en-US" w:eastAsia="zh-CN" w:bidi="ar"/>
              </w:rPr>
              <w:t>满意度大于95%</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100%</w:t>
            </w:r>
          </w:p>
        </w:tc>
      </w:tr>
    </w:tbl>
    <w:p>
      <w:pPr>
        <w:keepNext w:val="0"/>
        <w:keepLines w:val="0"/>
        <w:pageBreakBefore w:val="0"/>
        <w:widowControl/>
        <w:numPr>
          <w:ilvl w:val="0"/>
          <w:numId w:val="10"/>
        </w:numPr>
        <w:kinsoku/>
        <w:wordWrap/>
        <w:overflowPunct/>
        <w:topLinePunct w:val="0"/>
        <w:autoSpaceDE/>
        <w:autoSpaceDN/>
        <w:bidi w:val="0"/>
        <w:adjustRightInd w:val="0"/>
        <w:snapToGrid w:val="0"/>
        <w:spacing w:before="234" w:beforeLines="75" w:beforeAutospacing="0" w:after="237" w:afterLines="75" w:afterAutospacing="0" w:line="600" w:lineRule="exact"/>
        <w:ind w:left="0" w:leftChars="0" w:right="0" w:rightChars="0" w:firstLine="643" w:firstLineChars="200"/>
        <w:textAlignment w:val="auto"/>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信息化建设及运行维护经费年初预算339.65万元，年度实际执行339.65万元，预算执行率为100%，有力保证了全省应急处置及网络运转和安全保密，确保了省委和办公厅工作的正常开展。</w:t>
      </w:r>
    </w:p>
    <w:tbl>
      <w:tblPr>
        <w:tblStyle w:val="13"/>
        <w:tblW w:w="8312" w:type="dxa"/>
        <w:tblInd w:w="0" w:type="dxa"/>
        <w:shd w:val="clear" w:color="auto" w:fill="auto"/>
        <w:tblLayout w:type="fixed"/>
        <w:tblCellMar>
          <w:top w:w="0" w:type="dxa"/>
          <w:left w:w="0" w:type="dxa"/>
          <w:bottom w:w="0" w:type="dxa"/>
          <w:right w:w="0" w:type="dxa"/>
        </w:tblCellMar>
      </w:tblPr>
      <w:tblGrid>
        <w:gridCol w:w="735"/>
        <w:gridCol w:w="1189"/>
        <w:gridCol w:w="1188"/>
        <w:gridCol w:w="1987"/>
        <w:gridCol w:w="1900"/>
        <w:gridCol w:w="1313"/>
      </w:tblGrid>
      <w:tr>
        <w:tblPrEx>
          <w:shd w:val="clear" w:color="auto" w:fill="auto"/>
          <w:tblCellMar>
            <w:top w:w="0" w:type="dxa"/>
            <w:left w:w="0" w:type="dxa"/>
            <w:bottom w:w="0" w:type="dxa"/>
            <w:right w:w="0" w:type="dxa"/>
          </w:tblCellMar>
        </w:tblPrEx>
        <w:trPr>
          <w:trHeight w:val="585" w:hRule="atLeast"/>
        </w:trPr>
        <w:tc>
          <w:tcPr>
            <w:tcW w:w="8312"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Autospacing="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 xml:space="preserve">项目绩效目标完成情况表 </w:t>
            </w:r>
            <w:r>
              <w:rPr>
                <w:rFonts w:hint="eastAsia" w:ascii="仿宋" w:hAnsi="仿宋" w:eastAsia="仿宋" w:cs="仿宋"/>
                <w:b/>
                <w:bCs/>
                <w:i w:val="0"/>
                <w:color w:val="000000"/>
                <w:kern w:val="0"/>
                <w:sz w:val="24"/>
                <w:szCs w:val="24"/>
                <w:u w:val="none"/>
                <w:lang w:val="en-US" w:eastAsia="zh-CN" w:bidi="ar"/>
              </w:rPr>
              <w:br w:type="textWrapping"/>
            </w:r>
            <w:r>
              <w:rPr>
                <w:rFonts w:hint="eastAsia" w:ascii="仿宋" w:hAnsi="仿宋" w:eastAsia="仿宋" w:cs="仿宋"/>
                <w:b/>
                <w:bCs/>
                <w:i w:val="0"/>
                <w:color w:val="000000"/>
                <w:kern w:val="0"/>
                <w:sz w:val="24"/>
                <w:szCs w:val="24"/>
                <w:u w:val="none"/>
                <w:lang w:val="en-US" w:eastAsia="zh-CN" w:bidi="ar"/>
              </w:rPr>
              <w:t>(2020年度)</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项目名称</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sz w:val="20"/>
                <w:szCs w:val="20"/>
                <w:lang w:val="en-US" w:eastAsia="zh-CN"/>
              </w:rPr>
              <w:t>信息化建设及运行维护经费</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预算单位</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中共四川省委办公厅</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预算执行情况(万元)</w:t>
            </w: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预算数:</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339.65</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执行数: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339.65</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339.65</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339.65</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年度目标完成情况</w:t>
            </w: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预期目标</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实际完成目标</w:t>
            </w:r>
          </w:p>
        </w:tc>
      </w:tr>
      <w:tr>
        <w:tblPrEx>
          <w:shd w:val="clear" w:color="auto" w:fill="auto"/>
          <w:tblCellMar>
            <w:top w:w="0" w:type="dxa"/>
            <w:left w:w="0" w:type="dxa"/>
            <w:bottom w:w="0" w:type="dxa"/>
            <w:right w:w="0" w:type="dxa"/>
          </w:tblCellMar>
        </w:tblPrEx>
        <w:trPr>
          <w:trHeight w:val="70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保障全省应急处置及网络运转，确保省委和办公厅工作正常开展。</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有力保证了全省应急处置及网络运转和安全保密，确保了省委和办公厅工作的正常开展。</w:t>
            </w:r>
          </w:p>
        </w:tc>
      </w:tr>
      <w:tr>
        <w:tblPrEx>
          <w:shd w:val="clear" w:color="auto" w:fill="auto"/>
          <w:tblCellMar>
            <w:top w:w="0" w:type="dxa"/>
            <w:left w:w="0" w:type="dxa"/>
            <w:bottom w:w="0" w:type="dxa"/>
            <w:right w:w="0" w:type="dxa"/>
          </w:tblCellMar>
        </w:tblPrEx>
        <w:trPr>
          <w:trHeight w:val="825" w:hRule="atLeast"/>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绩效指标完成情况</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一级指标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二级指标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三级指标</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预期指标值(包含数字及文字描述)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实际完成指标值(包含数字及文字描述)</w:t>
            </w:r>
          </w:p>
        </w:tc>
      </w:tr>
      <w:tr>
        <w:tblPrEx>
          <w:shd w:val="clear" w:color="auto" w:fill="auto"/>
          <w:tblCellMar>
            <w:top w:w="0" w:type="dxa"/>
            <w:left w:w="0" w:type="dxa"/>
            <w:bottom w:w="0" w:type="dxa"/>
            <w:right w:w="0" w:type="dxa"/>
          </w:tblCellMar>
        </w:tblPrEx>
        <w:trPr>
          <w:trHeight w:val="716"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产出</w:t>
            </w:r>
            <w:r>
              <w:rPr>
                <w:rFonts w:hint="eastAsia" w:ascii="仿宋" w:hAnsi="仿宋" w:eastAsia="仿宋" w:cs="仿宋"/>
                <w:b/>
                <w:bCs/>
                <w:i w:val="0"/>
                <w:color w:val="000000"/>
                <w:kern w:val="0"/>
                <w:sz w:val="20"/>
                <w:szCs w:val="20"/>
                <w:u w:val="none"/>
                <w:lang w:val="en-US" w:eastAsia="zh-CN" w:bidi="ar"/>
              </w:rPr>
              <w:t>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全年对办公厅各部门信息化网络系统进行维护</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100次以上</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121次</w:t>
            </w:r>
          </w:p>
        </w:tc>
      </w:tr>
      <w:tr>
        <w:tblPrEx>
          <w:shd w:val="clear" w:color="auto" w:fill="auto"/>
          <w:tblCellMar>
            <w:top w:w="0" w:type="dxa"/>
            <w:left w:w="0" w:type="dxa"/>
            <w:bottom w:w="0" w:type="dxa"/>
            <w:right w:w="0" w:type="dxa"/>
          </w:tblCellMar>
        </w:tblPrEx>
        <w:trPr>
          <w:trHeight w:val="494"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时效指标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2020年度</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1年</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1年</w:t>
            </w:r>
          </w:p>
        </w:tc>
      </w:tr>
      <w:tr>
        <w:tblPrEx>
          <w:shd w:val="clear" w:color="auto" w:fill="auto"/>
          <w:tblCellMar>
            <w:top w:w="0" w:type="dxa"/>
            <w:left w:w="0" w:type="dxa"/>
            <w:bottom w:w="0" w:type="dxa"/>
            <w:right w:w="0" w:type="dxa"/>
          </w:tblCellMar>
        </w:tblPrEx>
        <w:trPr>
          <w:trHeight w:val="514"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0"/>
                <w:szCs w:val="20"/>
                <w:u w:val="none"/>
                <w:lang w:val="en-US" w:eastAsia="zh-CN" w:bidi="ar-SA"/>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成本指标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省委办公厅各局室处信息化系统运行保障维护费用</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339.65</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339.65</w:t>
            </w:r>
          </w:p>
        </w:tc>
      </w:tr>
      <w:tr>
        <w:tblPrEx>
          <w:shd w:val="clear" w:color="auto" w:fill="auto"/>
          <w:tblCellMar>
            <w:top w:w="0" w:type="dxa"/>
            <w:left w:w="0" w:type="dxa"/>
            <w:bottom w:w="0" w:type="dxa"/>
            <w:right w:w="0" w:type="dxa"/>
          </w:tblCellMar>
        </w:tblPrEx>
        <w:trPr>
          <w:trHeight w:val="585"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0"/>
                <w:szCs w:val="20"/>
                <w:u w:val="none"/>
                <w:lang w:val="en-US" w:eastAsia="zh-CN" w:bidi="ar-SA"/>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可持续影响指标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提供四川省网络中心和省委办公厅网络运行维护，提供省委办公厅应用系统技术服务和网站信息服务保障，确保省网络中心和办公厅信息化应用系统和服务器正常运转。提高和推广网上办公，有效节约行政成本。</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保证省电子政务内网稳定运行，保证省网络中心所有应用系统稳定运行，对办公厅应用系统数据管理维护出现问题及时排查解决，不断的提高网络运行速度及质量。</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全年圆满保障各项网络系统正常运转，网络运行速度和质量有所提高</w:t>
            </w:r>
          </w:p>
        </w:tc>
      </w:tr>
      <w:tr>
        <w:tblPrEx>
          <w:tblCellMar>
            <w:top w:w="0" w:type="dxa"/>
            <w:left w:w="0" w:type="dxa"/>
            <w:bottom w:w="0" w:type="dxa"/>
            <w:right w:w="0" w:type="dxa"/>
          </w:tblCellMar>
        </w:tblPrEx>
        <w:trPr>
          <w:trHeight w:val="555" w:hRule="atLeast"/>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满意度指标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领导及干部职工满意度</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i w:val="0"/>
                <w:iCs w:val="0"/>
                <w:color w:val="000000"/>
                <w:kern w:val="0"/>
                <w:sz w:val="20"/>
                <w:szCs w:val="20"/>
                <w:u w:val="none"/>
                <w:lang w:val="en-US" w:eastAsia="zh-CN" w:bidi="ar"/>
              </w:rPr>
              <w:t>满意度＞95%</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95%</w:t>
            </w:r>
          </w:p>
        </w:tc>
      </w:tr>
    </w:tbl>
    <w:p>
      <w:pPr>
        <w:keepNext w:val="0"/>
        <w:keepLines w:val="0"/>
        <w:pageBreakBefore w:val="0"/>
        <w:widowControl/>
        <w:numPr>
          <w:ilvl w:val="0"/>
          <w:numId w:val="10"/>
        </w:numPr>
        <w:kinsoku/>
        <w:wordWrap/>
        <w:overflowPunct/>
        <w:topLinePunct w:val="0"/>
        <w:autoSpaceDE/>
        <w:autoSpaceDN/>
        <w:bidi w:val="0"/>
        <w:adjustRightInd w:val="0"/>
        <w:snapToGrid w:val="0"/>
        <w:spacing w:before="245" w:beforeLines="78" w:beforeAutospacing="0" w:after="246" w:afterLines="78" w:afterAutospacing="0" w:line="600" w:lineRule="exact"/>
        <w:ind w:left="0" w:leftChars="0" w:right="-153" w:rightChars="-73" w:firstLine="643" w:firstLineChars="200"/>
        <w:textAlignment w:val="auto"/>
        <w:rPr>
          <w:rFonts w:hint="default" w:ascii="Times New Roman" w:hAnsi="Times New Roman" w:eastAsia="仿宋_GB2312" w:cs="Times New Roman"/>
          <w:b/>
          <w:sz w:val="32"/>
          <w:szCs w:val="32"/>
          <w:lang w:val="en-US" w:eastAsia="zh-CN"/>
        </w:rPr>
      </w:pPr>
      <w:r>
        <w:rPr>
          <w:rFonts w:hint="eastAsia" w:ascii="仿宋" w:hAnsi="仿宋" w:eastAsia="仿宋" w:cs="仿宋"/>
          <w:b/>
          <w:sz w:val="32"/>
          <w:szCs w:val="32"/>
          <w:lang w:val="en-US" w:eastAsia="zh-CN"/>
        </w:rPr>
        <w:t>设备购置经费年初预算354.05万元，年度实际执行285.08万元，预算执行率为80.52%。主要原因是政府采购物资的实际成交金额小于预算金额，节约预算财政收回</w:t>
      </w:r>
      <w:r>
        <w:rPr>
          <w:rFonts w:hint="default" w:ascii="Times New Roman" w:hAnsi="Times New Roman" w:eastAsia="仿宋_GB2312" w:cs="Times New Roman"/>
          <w:b/>
          <w:sz w:val="32"/>
          <w:szCs w:val="32"/>
          <w:lang w:val="en-US" w:eastAsia="zh-CN"/>
        </w:rPr>
        <w:t>。</w:t>
      </w:r>
    </w:p>
    <w:tbl>
      <w:tblPr>
        <w:tblStyle w:val="13"/>
        <w:tblW w:w="8312" w:type="dxa"/>
        <w:tblInd w:w="0" w:type="dxa"/>
        <w:shd w:val="clear" w:color="auto" w:fill="auto"/>
        <w:tblLayout w:type="fixed"/>
        <w:tblCellMar>
          <w:top w:w="0" w:type="dxa"/>
          <w:left w:w="0" w:type="dxa"/>
          <w:bottom w:w="0" w:type="dxa"/>
          <w:right w:w="0" w:type="dxa"/>
        </w:tblCellMar>
      </w:tblPr>
      <w:tblGrid>
        <w:gridCol w:w="735"/>
        <w:gridCol w:w="1189"/>
        <w:gridCol w:w="1188"/>
        <w:gridCol w:w="1987"/>
        <w:gridCol w:w="1900"/>
        <w:gridCol w:w="1313"/>
      </w:tblGrid>
      <w:tr>
        <w:tblPrEx>
          <w:shd w:val="clear" w:color="auto" w:fill="auto"/>
          <w:tblCellMar>
            <w:top w:w="0" w:type="dxa"/>
            <w:left w:w="0" w:type="dxa"/>
            <w:bottom w:w="0" w:type="dxa"/>
            <w:right w:w="0" w:type="dxa"/>
          </w:tblCellMar>
        </w:tblPrEx>
        <w:trPr>
          <w:trHeight w:val="585" w:hRule="atLeast"/>
        </w:trPr>
        <w:tc>
          <w:tcPr>
            <w:tcW w:w="8312"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Autospacing="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 xml:space="preserve">项目绩效目标完成情况表 </w:t>
            </w:r>
            <w:r>
              <w:rPr>
                <w:rFonts w:hint="eastAsia" w:ascii="仿宋" w:hAnsi="仿宋" w:eastAsia="仿宋" w:cs="仿宋"/>
                <w:b/>
                <w:bCs/>
                <w:i w:val="0"/>
                <w:color w:val="000000"/>
                <w:kern w:val="0"/>
                <w:sz w:val="24"/>
                <w:szCs w:val="24"/>
                <w:u w:val="none"/>
                <w:lang w:val="en-US" w:eastAsia="zh-CN" w:bidi="ar"/>
              </w:rPr>
              <w:br w:type="textWrapping"/>
            </w:r>
            <w:r>
              <w:rPr>
                <w:rFonts w:hint="eastAsia" w:ascii="仿宋" w:hAnsi="仿宋" w:eastAsia="仿宋" w:cs="仿宋"/>
                <w:b/>
                <w:bCs/>
                <w:i w:val="0"/>
                <w:color w:val="000000"/>
                <w:kern w:val="0"/>
                <w:sz w:val="24"/>
                <w:szCs w:val="24"/>
                <w:u w:val="none"/>
                <w:lang w:val="en-US" w:eastAsia="zh-CN" w:bidi="ar"/>
              </w:rPr>
              <w:t>(2020年度)</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项目名称</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sz w:val="20"/>
                <w:szCs w:val="20"/>
                <w:lang w:val="en-US" w:eastAsia="zh-CN"/>
              </w:rPr>
              <w:t>信息化建设及运行维护经费</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预算单位</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中共四川省委办公厅</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预算执行情况(万元)</w:t>
            </w: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预算数:</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354.05</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执行数: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285.08</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354.05</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285.08</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年度目标完成情况</w:t>
            </w: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预期目标</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实际完成目标</w:t>
            </w:r>
          </w:p>
        </w:tc>
      </w:tr>
      <w:tr>
        <w:tblPrEx>
          <w:shd w:val="clear" w:color="auto" w:fill="auto"/>
          <w:tblCellMar>
            <w:top w:w="0" w:type="dxa"/>
            <w:left w:w="0" w:type="dxa"/>
            <w:bottom w:w="0" w:type="dxa"/>
            <w:right w:w="0" w:type="dxa"/>
          </w:tblCellMar>
        </w:tblPrEx>
        <w:trPr>
          <w:trHeight w:val="70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按照采购相关要求，围绕办公厅整体运行需求，科学高效保障办公厅各局室处工作运转，高质量完成设备等物资采购工作。</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全年政府采购工作严格按照相关法规制度，围绕办公厅工作需求，本着绿色节约原则，扎实完成了物资采购相关工作。</w:t>
            </w:r>
          </w:p>
        </w:tc>
      </w:tr>
      <w:tr>
        <w:tblPrEx>
          <w:shd w:val="clear" w:color="auto" w:fill="auto"/>
          <w:tblCellMar>
            <w:top w:w="0" w:type="dxa"/>
            <w:left w:w="0" w:type="dxa"/>
            <w:bottom w:w="0" w:type="dxa"/>
            <w:right w:w="0" w:type="dxa"/>
          </w:tblCellMar>
        </w:tblPrEx>
        <w:trPr>
          <w:trHeight w:val="825" w:hRule="atLeast"/>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绩效指标完成情况</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一级指标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二级指标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三级指标</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预期指标值(包含数字及文字描述)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实际完成指标值(包含数字及文字描述)</w:t>
            </w:r>
          </w:p>
        </w:tc>
      </w:tr>
      <w:tr>
        <w:tblPrEx>
          <w:shd w:val="clear" w:color="auto" w:fill="auto"/>
          <w:tblCellMar>
            <w:top w:w="0" w:type="dxa"/>
            <w:left w:w="0" w:type="dxa"/>
            <w:bottom w:w="0" w:type="dxa"/>
            <w:right w:w="0" w:type="dxa"/>
          </w:tblCellMar>
        </w:tblPrEx>
        <w:trPr>
          <w:trHeight w:val="716"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产出</w:t>
            </w:r>
            <w:r>
              <w:rPr>
                <w:rFonts w:hint="eastAsia" w:ascii="仿宋" w:hAnsi="仿宋" w:eastAsia="仿宋" w:cs="仿宋"/>
                <w:b/>
                <w:bCs/>
                <w:i w:val="0"/>
                <w:color w:val="000000"/>
                <w:kern w:val="0"/>
                <w:sz w:val="20"/>
                <w:szCs w:val="20"/>
                <w:u w:val="none"/>
                <w:lang w:val="en-US" w:eastAsia="zh-CN" w:bidi="ar"/>
              </w:rPr>
              <w:t>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按照实际需求数量完成相应的采购。</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完成率大于90%。</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完成率95%</w:t>
            </w:r>
          </w:p>
        </w:tc>
      </w:tr>
      <w:tr>
        <w:tblPrEx>
          <w:tblCellMar>
            <w:top w:w="0" w:type="dxa"/>
            <w:left w:w="0" w:type="dxa"/>
            <w:bottom w:w="0" w:type="dxa"/>
            <w:right w:w="0" w:type="dxa"/>
          </w:tblCellMar>
        </w:tblPrEx>
        <w:trPr>
          <w:trHeight w:val="494"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质量指标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高效高质量完成采购。</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采购物资合格率95%以上。</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514"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0"/>
                <w:szCs w:val="20"/>
                <w:u w:val="none"/>
                <w:lang w:val="en-US" w:eastAsia="zh-CN" w:bidi="ar-SA"/>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时效指标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2020年度完成采购任务。</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1年</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1年</w:t>
            </w:r>
          </w:p>
        </w:tc>
      </w:tr>
      <w:tr>
        <w:tblPrEx>
          <w:tblCellMar>
            <w:top w:w="0" w:type="dxa"/>
            <w:left w:w="0" w:type="dxa"/>
            <w:bottom w:w="0" w:type="dxa"/>
            <w:right w:w="0" w:type="dxa"/>
          </w:tblCellMar>
        </w:tblPrEx>
        <w:trPr>
          <w:trHeight w:val="585"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0"/>
                <w:szCs w:val="20"/>
                <w:u w:val="none"/>
                <w:lang w:val="en-US" w:eastAsia="zh-CN" w:bidi="ar-SA"/>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生态效益指标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采购物资本着环保原则，在条件满足的情况下，优先考虑环保产品。</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不采购不符合环保要求的产品</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全年未采购不符合环保要求的产品</w:t>
            </w:r>
          </w:p>
        </w:tc>
      </w:tr>
      <w:tr>
        <w:tblPrEx>
          <w:tblCellMar>
            <w:top w:w="0" w:type="dxa"/>
            <w:left w:w="0" w:type="dxa"/>
            <w:bottom w:w="0" w:type="dxa"/>
            <w:right w:w="0" w:type="dxa"/>
          </w:tblCellMar>
        </w:tblPrEx>
        <w:trPr>
          <w:trHeight w:val="555" w:hRule="atLeast"/>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满意度指标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物资采购保障得到办公厅领导、同事的满意。</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i w:val="0"/>
                <w:iCs w:val="0"/>
                <w:color w:val="000000"/>
                <w:kern w:val="0"/>
                <w:sz w:val="20"/>
                <w:szCs w:val="20"/>
                <w:u w:val="none"/>
                <w:lang w:val="en-US" w:eastAsia="zh-CN" w:bidi="ar"/>
              </w:rPr>
              <w:t>满意度大于95%</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98%</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before="234" w:beforeLines="75" w:beforeAutospacing="0" w:after="268" w:afterLines="85" w:afterAutospacing="0" w:line="600" w:lineRule="exact"/>
        <w:ind w:right="-153" w:rightChars="-73" w:firstLine="643" w:firstLineChars="200"/>
        <w:textAlignment w:val="auto"/>
        <w:rPr>
          <w:rFonts w:hint="default" w:ascii="Times New Roman" w:hAnsi="Times New Roman" w:eastAsia="仿宋_GB2312" w:cs="Times New Roman"/>
          <w:b/>
          <w:bCs/>
          <w:sz w:val="32"/>
          <w:szCs w:val="32"/>
        </w:rPr>
      </w:pPr>
      <w:r>
        <w:rPr>
          <w:rFonts w:hint="eastAsia" w:ascii="仿宋" w:hAnsi="仿宋" w:eastAsia="仿宋" w:cs="仿宋"/>
          <w:b/>
          <w:sz w:val="32"/>
          <w:szCs w:val="32"/>
          <w:lang w:val="en-US" w:eastAsia="zh-CN"/>
        </w:rPr>
        <w:t>（5）老干部工作经费年初预算100万元，年度实际执行100万元，预算执行率为100%，通过精准计划、精细筹划，圆满组织保障各项学习教育、主题党建、健康疗养、走访慰问等活动，离退休党组织凝聚力增强，服务离退休人员为党和人民事业献计助力作用明显。</w:t>
      </w:r>
    </w:p>
    <w:tbl>
      <w:tblPr>
        <w:tblStyle w:val="13"/>
        <w:tblW w:w="8312" w:type="dxa"/>
        <w:tblInd w:w="0" w:type="dxa"/>
        <w:shd w:val="clear" w:color="auto" w:fill="auto"/>
        <w:tblLayout w:type="fixed"/>
        <w:tblCellMar>
          <w:top w:w="0" w:type="dxa"/>
          <w:left w:w="0" w:type="dxa"/>
          <w:bottom w:w="0" w:type="dxa"/>
          <w:right w:w="0" w:type="dxa"/>
        </w:tblCellMar>
      </w:tblPr>
      <w:tblGrid>
        <w:gridCol w:w="735"/>
        <w:gridCol w:w="1189"/>
        <w:gridCol w:w="1188"/>
        <w:gridCol w:w="1987"/>
        <w:gridCol w:w="1900"/>
        <w:gridCol w:w="1313"/>
      </w:tblGrid>
      <w:tr>
        <w:tblPrEx>
          <w:shd w:val="clear" w:color="auto" w:fill="auto"/>
          <w:tblCellMar>
            <w:top w:w="0" w:type="dxa"/>
            <w:left w:w="0" w:type="dxa"/>
            <w:bottom w:w="0" w:type="dxa"/>
            <w:right w:w="0" w:type="dxa"/>
          </w:tblCellMar>
        </w:tblPrEx>
        <w:trPr>
          <w:trHeight w:val="585" w:hRule="atLeast"/>
        </w:trPr>
        <w:tc>
          <w:tcPr>
            <w:tcW w:w="8312" w:type="dxa"/>
            <w:gridSpan w:val="6"/>
            <w:tcBorders>
              <w:top w:val="nil"/>
              <w:left w:val="nil"/>
              <w:bottom w:val="nil"/>
              <w:right w:val="nil"/>
            </w:tcBorders>
            <w:shd w:val="clear" w:color="auto" w:fill="auto"/>
            <w:tcMar>
              <w:top w:w="15" w:type="dxa"/>
              <w:left w:w="15" w:type="dxa"/>
              <w:right w:w="15" w:type="dxa"/>
            </w:tcMar>
            <w:vAlign w:val="center"/>
          </w:tcPr>
          <w:p>
            <w:pPr>
              <w:keepNext w:val="0"/>
              <w:keepLines w:val="0"/>
              <w:widowControl/>
              <w:suppressLineNumbers w:val="0"/>
              <w:spacing w:beforeAutospacing="0"/>
              <w:jc w:val="center"/>
              <w:textAlignment w:val="center"/>
              <w:rPr>
                <w:rFonts w:hint="eastAsia" w:ascii="仿宋" w:hAnsi="仿宋" w:eastAsia="仿宋" w:cs="仿宋"/>
                <w:b/>
                <w:bCs/>
                <w:i w:val="0"/>
                <w:color w:val="000000"/>
                <w:sz w:val="24"/>
                <w:szCs w:val="24"/>
                <w:u w:val="none"/>
              </w:rPr>
            </w:pPr>
            <w:r>
              <w:rPr>
                <w:rFonts w:hint="eastAsia" w:ascii="仿宋" w:hAnsi="仿宋" w:eastAsia="仿宋" w:cs="仿宋"/>
                <w:b/>
                <w:bCs/>
                <w:i w:val="0"/>
                <w:color w:val="000000"/>
                <w:kern w:val="0"/>
                <w:sz w:val="24"/>
                <w:szCs w:val="24"/>
                <w:u w:val="none"/>
                <w:lang w:val="en-US" w:eastAsia="zh-CN" w:bidi="ar"/>
              </w:rPr>
              <w:t xml:space="preserve">项目绩效目标完成情况表 </w:t>
            </w:r>
            <w:r>
              <w:rPr>
                <w:rFonts w:hint="eastAsia" w:ascii="仿宋" w:hAnsi="仿宋" w:eastAsia="仿宋" w:cs="仿宋"/>
                <w:b/>
                <w:bCs/>
                <w:i w:val="0"/>
                <w:color w:val="000000"/>
                <w:kern w:val="0"/>
                <w:sz w:val="24"/>
                <w:szCs w:val="24"/>
                <w:u w:val="none"/>
                <w:lang w:val="en-US" w:eastAsia="zh-CN" w:bidi="ar"/>
              </w:rPr>
              <w:br w:type="textWrapping"/>
            </w:r>
            <w:r>
              <w:rPr>
                <w:rFonts w:hint="eastAsia" w:ascii="仿宋" w:hAnsi="仿宋" w:eastAsia="仿宋" w:cs="仿宋"/>
                <w:b/>
                <w:bCs/>
                <w:i w:val="0"/>
                <w:color w:val="000000"/>
                <w:kern w:val="0"/>
                <w:sz w:val="24"/>
                <w:szCs w:val="24"/>
                <w:u w:val="none"/>
                <w:lang w:val="en-US" w:eastAsia="zh-CN" w:bidi="ar"/>
              </w:rPr>
              <w:t>(2020年度)</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项目名称</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sz w:val="20"/>
                <w:szCs w:val="20"/>
                <w:lang w:val="en-US" w:eastAsia="zh-CN"/>
              </w:rPr>
              <w:t>老干部工作经费</w:t>
            </w:r>
          </w:p>
        </w:tc>
      </w:tr>
      <w:tr>
        <w:tblPrEx>
          <w:shd w:val="clear" w:color="auto" w:fill="auto"/>
          <w:tblCellMar>
            <w:top w:w="0" w:type="dxa"/>
            <w:left w:w="0" w:type="dxa"/>
            <w:bottom w:w="0" w:type="dxa"/>
            <w:right w:w="0" w:type="dxa"/>
          </w:tblCellMar>
        </w:tblPrEx>
        <w:trPr>
          <w:trHeight w:val="255" w:hRule="atLeast"/>
        </w:trPr>
        <w:tc>
          <w:tcPr>
            <w:tcW w:w="311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预算单位</w:t>
            </w:r>
          </w:p>
        </w:tc>
        <w:tc>
          <w:tcPr>
            <w:tcW w:w="520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中共四川省委办公厅</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预算执行情况(万元)</w:t>
            </w: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预算数:</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100</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执行数: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100</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100</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其中-财政拨款:</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sz w:val="20"/>
                <w:szCs w:val="20"/>
                <w:lang w:val="en-US" w:eastAsia="zh-CN"/>
              </w:rPr>
              <w:t>100</w:t>
            </w:r>
          </w:p>
        </w:tc>
      </w:tr>
      <w:tr>
        <w:tblPrEx>
          <w:shd w:val="clear" w:color="auto" w:fill="auto"/>
          <w:tblCellMar>
            <w:top w:w="0" w:type="dxa"/>
            <w:left w:w="0" w:type="dxa"/>
            <w:bottom w:w="0" w:type="dxa"/>
            <w:right w:w="0" w:type="dxa"/>
          </w:tblCellMar>
        </w:tblPrEx>
        <w:trPr>
          <w:trHeight w:val="25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237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其它资金:</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0</w:t>
            </w:r>
          </w:p>
        </w:tc>
      </w:tr>
      <w:tr>
        <w:tblPrEx>
          <w:shd w:val="clear" w:color="auto" w:fill="auto"/>
          <w:tblCellMar>
            <w:top w:w="0" w:type="dxa"/>
            <w:left w:w="0" w:type="dxa"/>
            <w:bottom w:w="0" w:type="dxa"/>
            <w:right w:w="0" w:type="dxa"/>
          </w:tblCellMar>
        </w:tblPrEx>
        <w:trPr>
          <w:trHeight w:val="255" w:hRule="atLeast"/>
        </w:trPr>
        <w:tc>
          <w:tcPr>
            <w:tcW w:w="73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年度目标完成情况</w:t>
            </w: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预期目标</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实际完成目标</w:t>
            </w:r>
          </w:p>
        </w:tc>
      </w:tr>
      <w:tr>
        <w:tblPrEx>
          <w:shd w:val="clear" w:color="auto" w:fill="auto"/>
          <w:tblCellMar>
            <w:top w:w="0" w:type="dxa"/>
            <w:left w:w="0" w:type="dxa"/>
            <w:bottom w:w="0" w:type="dxa"/>
            <w:right w:w="0" w:type="dxa"/>
          </w:tblCellMar>
        </w:tblPrEx>
        <w:trPr>
          <w:trHeight w:val="705" w:hRule="atLeast"/>
        </w:trPr>
        <w:tc>
          <w:tcPr>
            <w:tcW w:w="73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bCs/>
                <w:i w:val="0"/>
                <w:color w:val="000000"/>
                <w:sz w:val="20"/>
                <w:szCs w:val="20"/>
                <w:u w:val="none"/>
              </w:rPr>
            </w:pPr>
          </w:p>
        </w:tc>
        <w:tc>
          <w:tcPr>
            <w:tcW w:w="436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保障离退休党总支组织开展各类政治时事学习、主题活动、外出修养、看望慰问等工作，增强党组织凝聚力战斗力，组织引领离退休人员发挥自身优势、经验优势为党和人民事业增添正能量。</w:t>
            </w:r>
          </w:p>
        </w:tc>
        <w:tc>
          <w:tcPr>
            <w:tcW w:w="321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在新冠疫情特殊条件下仍然圆满完成全年目标任务，共组织支部活动、慰问活动及看望生病住院老同志116次，为省委办公厅267名离退休干部职工提供了优质服务。</w:t>
            </w:r>
          </w:p>
        </w:tc>
      </w:tr>
      <w:tr>
        <w:tblPrEx>
          <w:shd w:val="clear" w:color="auto" w:fill="auto"/>
          <w:tblCellMar>
            <w:top w:w="0" w:type="dxa"/>
            <w:left w:w="0" w:type="dxa"/>
            <w:bottom w:w="0" w:type="dxa"/>
            <w:right w:w="0" w:type="dxa"/>
          </w:tblCellMar>
        </w:tblPrEx>
        <w:trPr>
          <w:trHeight w:val="825" w:hRule="atLeast"/>
        </w:trPr>
        <w:tc>
          <w:tcPr>
            <w:tcW w:w="73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绩效指标完成情况</w:t>
            </w:r>
          </w:p>
        </w:tc>
        <w:tc>
          <w:tcPr>
            <w:tcW w:w="11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一级指标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二级指标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三级指标</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预期指标值(包含数字及文字描述)</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color w:val="000000"/>
                <w:kern w:val="0"/>
                <w:sz w:val="20"/>
                <w:szCs w:val="20"/>
                <w:u w:val="none"/>
                <w:lang w:val="en-US" w:eastAsia="zh-CN" w:bidi="ar"/>
              </w:rPr>
              <w:t>实际完成指标值(包含数字及文字描述)</w:t>
            </w:r>
          </w:p>
        </w:tc>
      </w:tr>
      <w:tr>
        <w:tblPrEx>
          <w:shd w:val="clear" w:color="auto" w:fill="auto"/>
          <w:tblCellMar>
            <w:top w:w="0" w:type="dxa"/>
            <w:left w:w="0" w:type="dxa"/>
            <w:bottom w:w="0" w:type="dxa"/>
            <w:right w:w="0" w:type="dxa"/>
          </w:tblCellMar>
        </w:tblPrEx>
        <w:trPr>
          <w:trHeight w:val="716"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产出</w:t>
            </w:r>
            <w:r>
              <w:rPr>
                <w:rFonts w:hint="eastAsia" w:ascii="仿宋" w:hAnsi="仿宋" w:eastAsia="仿宋" w:cs="仿宋"/>
                <w:b/>
                <w:bCs/>
                <w:i w:val="0"/>
                <w:color w:val="000000"/>
                <w:kern w:val="0"/>
                <w:sz w:val="20"/>
                <w:szCs w:val="20"/>
                <w:u w:val="none"/>
                <w:lang w:val="en-US" w:eastAsia="zh-CN" w:bidi="ar"/>
              </w:rPr>
              <w:t>指标</w:t>
            </w: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数量指标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组织支部活动、慰问活动及看望生病住院的老同志</w:t>
            </w:r>
            <w:r>
              <w:rPr>
                <w:rStyle w:val="32"/>
                <w:rFonts w:eastAsia="仿宋"/>
                <w:sz w:val="20"/>
                <w:szCs w:val="20"/>
                <w:lang w:val="en-US" w:eastAsia="zh-CN" w:bidi="ar"/>
              </w:rPr>
              <w:t xml:space="preserve"> </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100余次</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116次</w:t>
            </w:r>
          </w:p>
        </w:tc>
      </w:tr>
      <w:tr>
        <w:tblPrEx>
          <w:shd w:val="clear" w:color="auto" w:fill="auto"/>
          <w:tblCellMar>
            <w:top w:w="0" w:type="dxa"/>
            <w:left w:w="0" w:type="dxa"/>
            <w:bottom w:w="0" w:type="dxa"/>
            <w:right w:w="0" w:type="dxa"/>
          </w:tblCellMar>
        </w:tblPrEx>
        <w:trPr>
          <w:trHeight w:val="494"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数量指标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办公厅离退休干部职工</w:t>
            </w:r>
            <w:r>
              <w:rPr>
                <w:rStyle w:val="32"/>
                <w:rFonts w:eastAsia="仿宋"/>
                <w:sz w:val="20"/>
                <w:szCs w:val="20"/>
                <w:lang w:val="en-US" w:eastAsia="zh-CN" w:bidi="ar"/>
              </w:rPr>
              <w:t xml:space="preserve"> </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262人</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267人</w:t>
            </w:r>
          </w:p>
        </w:tc>
      </w:tr>
      <w:tr>
        <w:tblPrEx>
          <w:tblCellMar>
            <w:top w:w="0" w:type="dxa"/>
            <w:left w:w="0" w:type="dxa"/>
            <w:bottom w:w="0" w:type="dxa"/>
            <w:right w:w="0" w:type="dxa"/>
          </w:tblCellMar>
        </w:tblPrEx>
        <w:trPr>
          <w:trHeight w:val="514"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0"/>
                <w:szCs w:val="20"/>
                <w:u w:val="none"/>
                <w:lang w:val="en-US" w:eastAsia="zh-CN" w:bidi="ar-SA"/>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时效指标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2020年度</w:t>
            </w:r>
            <w:r>
              <w:rPr>
                <w:rStyle w:val="32"/>
                <w:rFonts w:eastAsia="仿宋"/>
                <w:sz w:val="20"/>
                <w:szCs w:val="20"/>
                <w:lang w:val="en-US" w:eastAsia="zh-CN" w:bidi="ar"/>
              </w:rPr>
              <w:t xml:space="preserve"> </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1年</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1年</w:t>
            </w:r>
          </w:p>
        </w:tc>
      </w:tr>
      <w:tr>
        <w:tblPrEx>
          <w:tblCellMar>
            <w:top w:w="0" w:type="dxa"/>
            <w:left w:w="0" w:type="dxa"/>
            <w:bottom w:w="0" w:type="dxa"/>
            <w:right w:w="0" w:type="dxa"/>
          </w:tblCellMar>
        </w:tblPrEx>
        <w:trPr>
          <w:trHeight w:val="585" w:hRule="atLeast"/>
        </w:trPr>
        <w:tc>
          <w:tcPr>
            <w:tcW w:w="73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iCs w:val="0"/>
                <w:color w:val="000000"/>
                <w:kern w:val="2"/>
                <w:sz w:val="20"/>
                <w:szCs w:val="20"/>
                <w:u w:val="none"/>
                <w:lang w:val="en-US" w:eastAsia="zh-CN" w:bidi="ar-SA"/>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成本指标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老干部工作经费</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100</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100</w:t>
            </w:r>
          </w:p>
        </w:tc>
      </w:tr>
      <w:tr>
        <w:tblPrEx>
          <w:tblCellMar>
            <w:top w:w="0" w:type="dxa"/>
            <w:left w:w="0" w:type="dxa"/>
            <w:bottom w:w="0" w:type="dxa"/>
            <w:right w:w="0" w:type="dxa"/>
          </w:tblCellMar>
        </w:tblPrEx>
        <w:trPr>
          <w:trHeight w:val="555" w:hRule="atLeast"/>
        </w:trPr>
        <w:tc>
          <w:tcPr>
            <w:tcW w:w="73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可持续影响指标</w:t>
            </w:r>
          </w:p>
        </w:tc>
        <w:tc>
          <w:tcPr>
            <w:tcW w:w="1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为办公厅260多名离退休干部职工提供优质服务，确保离退休老同志生活顺心，安度晚年。</w:t>
            </w:r>
            <w:r>
              <w:rPr>
                <w:rStyle w:val="32"/>
                <w:rFonts w:eastAsia="仿宋"/>
                <w:sz w:val="20"/>
                <w:szCs w:val="20"/>
                <w:lang w:val="en-US" w:eastAsia="zh-CN" w:bidi="ar"/>
              </w:rPr>
              <w:t xml:space="preserve"> </w:t>
            </w:r>
          </w:p>
        </w:tc>
        <w:tc>
          <w:tcPr>
            <w:tcW w:w="19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b/>
                <w:bCs/>
                <w:i w:val="0"/>
                <w:color w:val="000000"/>
                <w:sz w:val="20"/>
                <w:szCs w:val="20"/>
                <w:u w:val="none"/>
                <w:lang w:val="en-US"/>
              </w:rPr>
            </w:pPr>
            <w:r>
              <w:rPr>
                <w:rFonts w:hint="eastAsia" w:ascii="仿宋" w:hAnsi="仿宋" w:eastAsia="仿宋" w:cs="仿宋"/>
                <w:b/>
                <w:bCs/>
                <w:i w:val="0"/>
                <w:iCs w:val="0"/>
                <w:color w:val="000000"/>
                <w:kern w:val="0"/>
                <w:sz w:val="20"/>
                <w:szCs w:val="20"/>
                <w:u w:val="none"/>
                <w:lang w:val="en-US" w:eastAsia="zh-CN" w:bidi="ar"/>
              </w:rPr>
              <w:t>不断提高服务水平</w:t>
            </w:r>
          </w:p>
        </w:tc>
        <w:tc>
          <w:tcPr>
            <w:tcW w:w="131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bCs/>
                <w:i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服务水平有所提高</w:t>
            </w:r>
          </w:p>
        </w:tc>
      </w:tr>
    </w:tbl>
    <w:p>
      <w:pPr>
        <w:keepNext w:val="0"/>
        <w:keepLines w:val="0"/>
        <w:pageBreakBefore w:val="0"/>
        <w:widowControl w:val="0"/>
        <w:numPr>
          <w:ilvl w:val="0"/>
          <w:numId w:val="9"/>
        </w:numPr>
        <w:kinsoku/>
        <w:wordWrap/>
        <w:overflowPunct/>
        <w:topLinePunct w:val="0"/>
        <w:autoSpaceDE/>
        <w:autoSpaceDN/>
        <w:bidi w:val="0"/>
        <w:adjustRightInd w:val="0"/>
        <w:snapToGrid w:val="0"/>
        <w:spacing w:before="234" w:beforeLines="75" w:beforeAutospacing="0" w:line="600" w:lineRule="exact"/>
        <w:ind w:left="0" w:leftChars="0"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eastAsia="zh-CN"/>
        </w:rPr>
        <w:t>单位</w:t>
      </w:r>
      <w:r>
        <w:rPr>
          <w:rFonts w:hint="eastAsia" w:ascii="仿宋" w:hAnsi="仿宋" w:eastAsia="仿宋" w:cs="仿宋"/>
          <w:b/>
          <w:bCs/>
          <w:sz w:val="32"/>
          <w:szCs w:val="32"/>
        </w:rPr>
        <w:t>绩效评价结果</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rPr>
        <w:t>本</w:t>
      </w:r>
      <w:r>
        <w:rPr>
          <w:rFonts w:hint="eastAsia" w:ascii="仿宋" w:hAnsi="仿宋" w:eastAsia="仿宋" w:cs="仿宋"/>
          <w:b/>
          <w:bCs/>
          <w:sz w:val="32"/>
          <w:szCs w:val="32"/>
          <w:lang w:eastAsia="zh-CN"/>
        </w:rPr>
        <w:t>单位</w:t>
      </w:r>
      <w:r>
        <w:rPr>
          <w:rFonts w:hint="eastAsia" w:ascii="仿宋" w:hAnsi="仿宋" w:eastAsia="仿宋" w:cs="仿宋"/>
          <w:b/>
          <w:bCs/>
          <w:sz w:val="32"/>
          <w:szCs w:val="32"/>
        </w:rPr>
        <w:t>自行组织对</w:t>
      </w:r>
      <w:r>
        <w:rPr>
          <w:rFonts w:hint="eastAsia" w:ascii="仿宋" w:hAnsi="仿宋" w:eastAsia="仿宋" w:cs="仿宋"/>
          <w:b/>
          <w:bCs/>
          <w:sz w:val="32"/>
          <w:szCs w:val="32"/>
          <w:lang w:val="en-US" w:eastAsia="zh-CN"/>
        </w:rPr>
        <w:t>5个</w:t>
      </w:r>
      <w:r>
        <w:rPr>
          <w:rFonts w:hint="eastAsia" w:ascii="仿宋" w:hAnsi="仿宋" w:eastAsia="仿宋" w:cs="仿宋"/>
          <w:b/>
          <w:bCs/>
          <w:sz w:val="32"/>
          <w:szCs w:val="32"/>
          <w:lang w:eastAsia="zh-CN"/>
        </w:rPr>
        <w:t>单位</w:t>
      </w:r>
      <w:r>
        <w:rPr>
          <w:rFonts w:hint="eastAsia" w:ascii="仿宋" w:hAnsi="仿宋" w:eastAsia="仿宋" w:cs="仿宋"/>
          <w:b/>
          <w:bCs/>
          <w:sz w:val="32"/>
          <w:szCs w:val="32"/>
        </w:rPr>
        <w:t>预算项目开展了绩效评价，</w:t>
      </w:r>
      <w:r>
        <w:rPr>
          <w:rFonts w:hint="eastAsia" w:ascii="仿宋" w:hAnsi="仿宋" w:eastAsia="仿宋" w:cs="仿宋"/>
          <w:b/>
          <w:bCs/>
          <w:sz w:val="32"/>
          <w:szCs w:val="32"/>
          <w:lang w:eastAsia="zh-CN"/>
        </w:rPr>
        <w:t>并编制完成</w:t>
      </w:r>
      <w:r>
        <w:rPr>
          <w:rFonts w:hint="eastAsia" w:ascii="仿宋" w:hAnsi="仿宋" w:eastAsia="仿宋" w:cs="仿宋"/>
          <w:b/>
          <w:bCs/>
          <w:sz w:val="32"/>
          <w:szCs w:val="32"/>
        </w:rPr>
        <w:t>《</w:t>
      </w:r>
      <w:r>
        <w:rPr>
          <w:rFonts w:hint="eastAsia" w:ascii="仿宋" w:hAnsi="仿宋" w:eastAsia="仿宋" w:cs="仿宋"/>
          <w:b/>
          <w:bCs/>
          <w:sz w:val="32"/>
          <w:szCs w:val="32"/>
          <w:lang w:eastAsia="zh-CN"/>
        </w:rPr>
        <w:t>省委办公厅专项工作经费</w:t>
      </w:r>
      <w:r>
        <w:rPr>
          <w:rFonts w:hint="eastAsia" w:ascii="仿宋" w:hAnsi="仿宋" w:eastAsia="仿宋" w:cs="仿宋"/>
          <w:b/>
          <w:bCs/>
          <w:sz w:val="32"/>
          <w:szCs w:val="32"/>
        </w:rPr>
        <w:t>支出绩效自评报告》</w:t>
      </w:r>
      <w:r>
        <w:rPr>
          <w:rFonts w:hint="eastAsia" w:ascii="仿宋" w:hAnsi="仿宋" w:eastAsia="仿宋" w:cs="仿宋"/>
          <w:b/>
          <w:bCs/>
          <w:sz w:val="32"/>
          <w:szCs w:val="32"/>
          <w:lang w:eastAsia="zh-CN"/>
        </w:rPr>
        <w:t>、</w:t>
      </w:r>
      <w:r>
        <w:rPr>
          <w:rFonts w:hint="eastAsia" w:ascii="仿宋" w:hAnsi="仿宋" w:eastAsia="仿宋" w:cs="仿宋"/>
          <w:b/>
          <w:bCs/>
          <w:sz w:val="32"/>
          <w:szCs w:val="32"/>
        </w:rPr>
        <w:t>《</w:t>
      </w:r>
      <w:r>
        <w:rPr>
          <w:rFonts w:hint="eastAsia" w:ascii="仿宋" w:hAnsi="仿宋" w:eastAsia="仿宋" w:cs="仿宋"/>
          <w:b/>
          <w:bCs/>
          <w:sz w:val="32"/>
          <w:szCs w:val="32"/>
          <w:lang w:eastAsia="zh-CN"/>
        </w:rPr>
        <w:t>省委办公厅大宗文印费</w:t>
      </w:r>
      <w:r>
        <w:rPr>
          <w:rFonts w:hint="eastAsia" w:ascii="仿宋" w:hAnsi="仿宋" w:eastAsia="仿宋" w:cs="仿宋"/>
          <w:b/>
          <w:bCs/>
          <w:sz w:val="32"/>
          <w:szCs w:val="32"/>
        </w:rPr>
        <w:t>支出绩效自评报告》</w:t>
      </w:r>
      <w:r>
        <w:rPr>
          <w:rFonts w:hint="eastAsia" w:ascii="仿宋" w:hAnsi="仿宋" w:eastAsia="仿宋" w:cs="仿宋"/>
          <w:b/>
          <w:bCs/>
          <w:sz w:val="32"/>
          <w:szCs w:val="32"/>
          <w:lang w:eastAsia="zh-CN"/>
        </w:rPr>
        <w:t>、</w:t>
      </w:r>
      <w:r>
        <w:rPr>
          <w:rFonts w:hint="eastAsia" w:ascii="仿宋" w:hAnsi="仿宋" w:eastAsia="仿宋" w:cs="仿宋"/>
          <w:b/>
          <w:bCs/>
          <w:sz w:val="32"/>
          <w:szCs w:val="32"/>
        </w:rPr>
        <w:t>《</w:t>
      </w:r>
      <w:r>
        <w:rPr>
          <w:rFonts w:hint="eastAsia" w:ascii="仿宋" w:hAnsi="仿宋" w:eastAsia="仿宋" w:cs="仿宋"/>
          <w:b/>
          <w:bCs/>
          <w:sz w:val="32"/>
          <w:szCs w:val="32"/>
          <w:lang w:eastAsia="zh-CN"/>
        </w:rPr>
        <w:t>信息化建设及运行维护经费</w:t>
      </w:r>
      <w:r>
        <w:rPr>
          <w:rFonts w:hint="eastAsia" w:ascii="仿宋" w:hAnsi="仿宋" w:eastAsia="仿宋" w:cs="仿宋"/>
          <w:b/>
          <w:bCs/>
          <w:sz w:val="32"/>
          <w:szCs w:val="32"/>
        </w:rPr>
        <w:t>支出绩效自评报告》</w:t>
      </w:r>
      <w:r>
        <w:rPr>
          <w:rFonts w:hint="eastAsia" w:ascii="仿宋" w:hAnsi="仿宋" w:eastAsia="仿宋" w:cs="仿宋"/>
          <w:b/>
          <w:bCs/>
          <w:sz w:val="32"/>
          <w:szCs w:val="32"/>
          <w:lang w:eastAsia="zh-CN"/>
        </w:rPr>
        <w:t>、</w:t>
      </w:r>
      <w:r>
        <w:rPr>
          <w:rFonts w:hint="eastAsia" w:ascii="仿宋" w:hAnsi="仿宋" w:eastAsia="仿宋" w:cs="仿宋"/>
          <w:b/>
          <w:bCs/>
          <w:sz w:val="32"/>
          <w:szCs w:val="32"/>
        </w:rPr>
        <w:t>《</w:t>
      </w:r>
      <w:r>
        <w:rPr>
          <w:rFonts w:hint="eastAsia" w:ascii="仿宋" w:hAnsi="仿宋" w:eastAsia="仿宋" w:cs="仿宋"/>
          <w:b/>
          <w:bCs/>
          <w:sz w:val="32"/>
          <w:szCs w:val="32"/>
          <w:lang w:eastAsia="zh-CN"/>
        </w:rPr>
        <w:t>设备购置经费</w:t>
      </w:r>
      <w:r>
        <w:rPr>
          <w:rFonts w:hint="eastAsia" w:ascii="仿宋" w:hAnsi="仿宋" w:eastAsia="仿宋" w:cs="仿宋"/>
          <w:b/>
          <w:bCs/>
          <w:sz w:val="32"/>
          <w:szCs w:val="32"/>
        </w:rPr>
        <w:t>支出绩效自评报告》</w:t>
      </w:r>
      <w:r>
        <w:rPr>
          <w:rFonts w:hint="eastAsia" w:ascii="仿宋" w:hAnsi="仿宋" w:eastAsia="仿宋" w:cs="仿宋"/>
          <w:b/>
          <w:bCs/>
          <w:sz w:val="32"/>
          <w:szCs w:val="32"/>
          <w:lang w:eastAsia="zh-CN"/>
        </w:rPr>
        <w:t>、</w:t>
      </w:r>
      <w:r>
        <w:rPr>
          <w:rFonts w:hint="eastAsia" w:ascii="仿宋" w:hAnsi="仿宋" w:eastAsia="仿宋" w:cs="仿宋"/>
          <w:b/>
          <w:bCs/>
          <w:sz w:val="32"/>
          <w:szCs w:val="32"/>
        </w:rPr>
        <w:t>《</w:t>
      </w:r>
      <w:r>
        <w:rPr>
          <w:rFonts w:hint="eastAsia" w:ascii="仿宋" w:hAnsi="仿宋" w:eastAsia="仿宋" w:cs="仿宋"/>
          <w:b/>
          <w:bCs/>
          <w:sz w:val="32"/>
          <w:szCs w:val="32"/>
          <w:lang w:eastAsia="zh-CN"/>
        </w:rPr>
        <w:t>老干部工作经费</w:t>
      </w:r>
      <w:r>
        <w:rPr>
          <w:rFonts w:hint="eastAsia" w:ascii="仿宋" w:hAnsi="仿宋" w:eastAsia="仿宋" w:cs="仿宋"/>
          <w:b/>
          <w:bCs/>
          <w:sz w:val="32"/>
          <w:szCs w:val="32"/>
        </w:rPr>
        <w:t>支出绩效自评报告》</w:t>
      </w:r>
      <w:r>
        <w:rPr>
          <w:rFonts w:hint="eastAsia" w:ascii="仿宋" w:hAnsi="仿宋" w:eastAsia="仿宋" w:cs="仿宋"/>
          <w:b/>
          <w:bCs/>
          <w:sz w:val="32"/>
          <w:szCs w:val="32"/>
          <w:lang w:eastAsia="zh-CN"/>
        </w:rPr>
        <w:t>，详见附件</w:t>
      </w:r>
      <w:r>
        <w:rPr>
          <w:rFonts w:hint="eastAsia" w:ascii="仿宋" w:hAnsi="仿宋" w:eastAsia="仿宋" w:cs="仿宋"/>
          <w:b/>
          <w:bCs/>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仿宋" w:hAnsi="仿宋" w:eastAsia="仿宋" w:cs="仿宋"/>
          <w:b/>
          <w:bCs/>
          <w:sz w:val="32"/>
          <w:szCs w:val="32"/>
        </w:rPr>
      </w:pPr>
    </w:p>
    <w:p>
      <w:pPr>
        <w:pageBreakBefore w:val="0"/>
        <w:numPr>
          <w:ilvl w:val="0"/>
          <w:numId w:val="11"/>
        </w:numPr>
        <w:kinsoku/>
        <w:wordWrap/>
        <w:overflowPunct/>
        <w:topLinePunct w:val="0"/>
        <w:bidi w:val="0"/>
        <w:adjustRightInd w:val="0"/>
        <w:snapToGrid w:val="0"/>
        <w:spacing w:line="360" w:lineRule="auto"/>
        <w:ind w:firstLine="663" w:firstLineChars="150"/>
        <w:jc w:val="center"/>
        <w:outlineLvl w:val="0"/>
        <w:rPr>
          <w:rFonts w:hint="eastAsia" w:ascii="黑体" w:hAnsi="黑体" w:eastAsia="黑体" w:cs="黑体"/>
          <w:b/>
          <w:bCs/>
          <w:color w:val="000000"/>
          <w:sz w:val="44"/>
          <w:szCs w:val="44"/>
        </w:rPr>
      </w:pPr>
      <w:bookmarkStart w:id="76" w:name="_Toc15377225"/>
      <w:bookmarkStart w:id="77" w:name="_Toc12535"/>
      <w:r>
        <w:rPr>
          <w:rFonts w:hint="eastAsia" w:ascii="黑体" w:hAnsi="黑体" w:eastAsia="黑体" w:cs="黑体"/>
          <w:b/>
          <w:bCs/>
          <w:color w:val="000000"/>
          <w:sz w:val="44"/>
          <w:szCs w:val="44"/>
        </w:rPr>
        <w:t>名</w:t>
      </w:r>
      <w:r>
        <w:rPr>
          <w:rStyle w:val="25"/>
          <w:rFonts w:hint="eastAsia" w:ascii="黑体" w:hAnsi="黑体" w:eastAsia="黑体" w:cs="黑体"/>
          <w:b/>
          <w:bCs/>
        </w:rPr>
        <w:t>词解释</w:t>
      </w:r>
      <w:bookmarkEnd w:id="76"/>
      <w:bookmarkEnd w:id="77"/>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bookmarkStart w:id="78" w:name="_Toc15377226"/>
      <w:r>
        <w:rPr>
          <w:rFonts w:hint="eastAsia" w:ascii="仿宋" w:hAnsi="仿宋" w:eastAsia="仿宋" w:cs="仿宋"/>
          <w:b/>
          <w:bCs/>
          <w:sz w:val="32"/>
          <w:szCs w:val="32"/>
        </w:rPr>
        <w:t>1. 财政拨款收入：指省级财政当年拨付的资金。</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 事业收入：指事业单位开展业务活动所取得的收入。</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3</w:t>
      </w:r>
      <w:r>
        <w:rPr>
          <w:rFonts w:hint="eastAsia" w:ascii="仿宋" w:hAnsi="仿宋" w:eastAsia="仿宋" w:cs="仿宋"/>
          <w:b/>
          <w:bCs/>
          <w:sz w:val="32"/>
          <w:szCs w:val="32"/>
        </w:rPr>
        <w:t>. 其他收入：指除上述“财政拨款收入”、“事业收入”等以外的收入。主要是银行存款利息收入等。</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4</w:t>
      </w:r>
      <w:r>
        <w:rPr>
          <w:rFonts w:hint="eastAsia" w:ascii="仿宋" w:hAnsi="仿宋" w:eastAsia="仿宋" w:cs="仿宋"/>
          <w:b/>
          <w:bCs/>
          <w:sz w:val="32"/>
          <w:szCs w:val="32"/>
        </w:rPr>
        <w:t>. 年初结转和结余：指上个年度尚未完成、结转到本年</w:t>
      </w:r>
      <w:r>
        <w:rPr>
          <w:rFonts w:hint="eastAsia" w:ascii="仿宋" w:hAnsi="仿宋" w:eastAsia="仿宋" w:cs="仿宋"/>
          <w:b/>
          <w:bCs/>
          <w:sz w:val="32"/>
          <w:szCs w:val="32"/>
          <w:lang w:eastAsia="zh-CN"/>
        </w:rPr>
        <w:t>度</w:t>
      </w:r>
      <w:r>
        <w:rPr>
          <w:rFonts w:hint="eastAsia" w:ascii="仿宋" w:hAnsi="仿宋" w:eastAsia="仿宋" w:cs="仿宋"/>
          <w:b/>
          <w:bCs/>
          <w:sz w:val="32"/>
          <w:szCs w:val="32"/>
        </w:rPr>
        <w:t>按有关规定继续使用的资金。</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 年末结转和结余：指本年度或以前年度预算安排、因客观条件发生变化无法按原计划实施，需延迟到以后年度按有关规定继续使用的资金。</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6</w:t>
      </w:r>
      <w:r>
        <w:rPr>
          <w:rFonts w:hint="eastAsia" w:ascii="仿宋" w:hAnsi="仿宋" w:eastAsia="仿宋" w:cs="仿宋"/>
          <w:b/>
          <w:bCs/>
          <w:sz w:val="32"/>
          <w:szCs w:val="32"/>
        </w:rPr>
        <w:t>. 基本支出：指为保障机构正常运转、完成日常工作任务而发生的人员支出和公用支出。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7</w:t>
      </w:r>
      <w:r>
        <w:rPr>
          <w:rFonts w:hint="eastAsia" w:ascii="仿宋" w:hAnsi="仿宋" w:eastAsia="仿宋" w:cs="仿宋"/>
          <w:b/>
          <w:bCs/>
          <w:sz w:val="32"/>
          <w:szCs w:val="32"/>
        </w:rPr>
        <w:t>. 项目支出：指在基本支出之外为完成特定行政任务和事业发展目标所发生的支出。　</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8</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支出。</w:t>
      </w:r>
    </w:p>
    <w:p>
      <w:pPr>
        <w:pStyle w:val="23"/>
        <w:spacing w:line="560" w:lineRule="exact"/>
        <w:ind w:firstLine="643" w:firstLineChars="200"/>
        <w:rPr>
          <w:rFonts w:hint="eastAsia" w:ascii="仿宋" w:hAnsi="仿宋" w:eastAsia="仿宋" w:cs="仿宋"/>
          <w:b/>
          <w:bCs/>
          <w:color w:val="auto"/>
          <w:kern w:val="2"/>
          <w:sz w:val="32"/>
          <w:szCs w:val="32"/>
          <w:lang w:val="en-US" w:eastAsia="zh-CN" w:bidi="ar-SA"/>
        </w:rPr>
      </w:pPr>
      <w:r>
        <w:rPr>
          <w:rFonts w:hint="eastAsia" w:ascii="仿宋" w:hAnsi="仿宋" w:eastAsia="仿宋" w:cs="仿宋"/>
          <w:b/>
          <w:bCs/>
          <w:color w:val="auto"/>
          <w:kern w:val="2"/>
          <w:sz w:val="32"/>
          <w:szCs w:val="32"/>
          <w:lang w:val="en-US" w:eastAsia="zh-CN" w:bidi="ar-SA"/>
        </w:rPr>
        <w:t>9. 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10</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一般公共服务</w:t>
      </w:r>
      <w:r>
        <w:rPr>
          <w:rFonts w:hint="eastAsia" w:ascii="仿宋" w:hAnsi="仿宋" w:eastAsia="仿宋" w:cs="仿宋"/>
          <w:b/>
          <w:bCs/>
          <w:sz w:val="32"/>
          <w:szCs w:val="32"/>
          <w:lang w:eastAsia="zh-CN"/>
        </w:rPr>
        <w:t>支出</w:t>
      </w:r>
      <w:r>
        <w:rPr>
          <w:rFonts w:hint="eastAsia" w:ascii="仿宋" w:hAnsi="仿宋" w:eastAsia="仿宋" w:cs="仿宋"/>
          <w:b/>
          <w:bCs/>
          <w:sz w:val="32"/>
          <w:szCs w:val="32"/>
        </w:rPr>
        <w:t>（类）党委办公厅</w:t>
      </w:r>
      <w:r>
        <w:rPr>
          <w:rFonts w:hint="eastAsia" w:ascii="仿宋" w:hAnsi="仿宋" w:eastAsia="仿宋" w:cs="仿宋"/>
          <w:b/>
          <w:bCs/>
          <w:sz w:val="32"/>
          <w:szCs w:val="32"/>
          <w:lang w:eastAsia="zh-CN"/>
        </w:rPr>
        <w:t>（</w:t>
      </w:r>
      <w:r>
        <w:rPr>
          <w:rFonts w:hint="eastAsia" w:ascii="仿宋" w:hAnsi="仿宋" w:eastAsia="仿宋" w:cs="仿宋"/>
          <w:b/>
          <w:bCs/>
          <w:sz w:val="32"/>
          <w:szCs w:val="32"/>
        </w:rPr>
        <w:t>室</w:t>
      </w:r>
      <w:r>
        <w:rPr>
          <w:rFonts w:hint="eastAsia" w:ascii="仿宋" w:hAnsi="仿宋" w:eastAsia="仿宋" w:cs="仿宋"/>
          <w:b/>
          <w:bCs/>
          <w:sz w:val="32"/>
          <w:szCs w:val="32"/>
          <w:lang w:eastAsia="zh-CN"/>
        </w:rPr>
        <w:t>）</w:t>
      </w:r>
      <w:r>
        <w:rPr>
          <w:rFonts w:hint="eastAsia" w:ascii="仿宋" w:hAnsi="仿宋" w:eastAsia="仿宋" w:cs="仿宋"/>
          <w:b/>
          <w:bCs/>
          <w:sz w:val="32"/>
          <w:szCs w:val="32"/>
        </w:rPr>
        <w:t>及相关机构事务（款）行政运行（项）：</w:t>
      </w:r>
      <w:r>
        <w:rPr>
          <w:rFonts w:hint="eastAsia" w:ascii="仿宋" w:hAnsi="仿宋" w:eastAsia="仿宋" w:cs="仿宋"/>
          <w:b/>
          <w:bCs/>
          <w:sz w:val="32"/>
          <w:szCs w:val="32"/>
          <w:lang w:eastAsia="zh-CN"/>
        </w:rPr>
        <w:t>反映行政单位（包括实行公务员管理的事业单位）的基本支出</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11</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一般公共服务</w:t>
      </w:r>
      <w:r>
        <w:rPr>
          <w:rFonts w:hint="eastAsia" w:ascii="仿宋" w:hAnsi="仿宋" w:eastAsia="仿宋" w:cs="仿宋"/>
          <w:b/>
          <w:bCs/>
          <w:sz w:val="32"/>
          <w:szCs w:val="32"/>
          <w:lang w:eastAsia="zh-CN"/>
        </w:rPr>
        <w:t>支出</w:t>
      </w:r>
      <w:r>
        <w:rPr>
          <w:rFonts w:hint="eastAsia" w:ascii="仿宋" w:hAnsi="仿宋" w:eastAsia="仿宋" w:cs="仿宋"/>
          <w:b/>
          <w:bCs/>
          <w:sz w:val="32"/>
          <w:szCs w:val="32"/>
        </w:rPr>
        <w:t>（类）党委办公厅</w:t>
      </w:r>
      <w:r>
        <w:rPr>
          <w:rFonts w:hint="eastAsia" w:ascii="仿宋" w:hAnsi="仿宋" w:eastAsia="仿宋" w:cs="仿宋"/>
          <w:b/>
          <w:bCs/>
          <w:sz w:val="32"/>
          <w:szCs w:val="32"/>
          <w:lang w:eastAsia="zh-CN"/>
        </w:rPr>
        <w:t>（</w:t>
      </w:r>
      <w:r>
        <w:rPr>
          <w:rFonts w:hint="eastAsia" w:ascii="仿宋" w:hAnsi="仿宋" w:eastAsia="仿宋" w:cs="仿宋"/>
          <w:b/>
          <w:bCs/>
          <w:sz w:val="32"/>
          <w:szCs w:val="32"/>
        </w:rPr>
        <w:t>室</w:t>
      </w:r>
      <w:r>
        <w:rPr>
          <w:rFonts w:hint="eastAsia" w:ascii="仿宋" w:hAnsi="仿宋" w:eastAsia="仿宋" w:cs="仿宋"/>
          <w:b/>
          <w:bCs/>
          <w:sz w:val="32"/>
          <w:szCs w:val="32"/>
          <w:lang w:eastAsia="zh-CN"/>
        </w:rPr>
        <w:t>）</w:t>
      </w:r>
      <w:r>
        <w:rPr>
          <w:rFonts w:hint="eastAsia" w:ascii="仿宋" w:hAnsi="仿宋" w:eastAsia="仿宋" w:cs="仿宋"/>
          <w:b/>
          <w:bCs/>
          <w:sz w:val="32"/>
          <w:szCs w:val="32"/>
        </w:rPr>
        <w:t>及相关机构事务（款）一般行政管理事务（项）：</w:t>
      </w:r>
      <w:r>
        <w:rPr>
          <w:rFonts w:hint="eastAsia" w:ascii="仿宋" w:hAnsi="仿宋" w:eastAsia="仿宋" w:cs="仿宋"/>
          <w:b/>
          <w:bCs/>
          <w:sz w:val="32"/>
          <w:szCs w:val="32"/>
          <w:lang w:eastAsia="zh-CN"/>
        </w:rPr>
        <w:t>反映行政单位（包括实行公务员管理的事业单位）未单独设置项级科目的其他项目支出</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12</w:t>
      </w:r>
      <w:r>
        <w:rPr>
          <w:rFonts w:hint="eastAsia" w:ascii="仿宋" w:hAnsi="仿宋" w:eastAsia="仿宋" w:cs="仿宋"/>
          <w:b/>
          <w:bCs/>
          <w:sz w:val="32"/>
          <w:szCs w:val="32"/>
        </w:rPr>
        <w:t>. 教育支出（类）进修及培训（款）培训支出（项）：</w:t>
      </w:r>
      <w:r>
        <w:rPr>
          <w:rFonts w:hint="eastAsia" w:ascii="仿宋" w:hAnsi="仿宋" w:eastAsia="仿宋" w:cs="仿宋"/>
          <w:b/>
          <w:bCs/>
          <w:sz w:val="32"/>
          <w:szCs w:val="32"/>
          <w:lang w:eastAsia="zh-CN"/>
        </w:rPr>
        <w:t>反映各部门安排的用于培训的支出</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13. 科学技术支出（类）其他科学技术支出（款）其他科学技术支出（项）：反映其他科学技术支出中其他用于科技方面的支出。</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 xml:space="preserve">14. </w:t>
      </w:r>
      <w:r>
        <w:rPr>
          <w:rFonts w:hint="eastAsia" w:ascii="仿宋" w:hAnsi="仿宋" w:eastAsia="仿宋" w:cs="仿宋"/>
          <w:b/>
          <w:bCs/>
          <w:sz w:val="32"/>
          <w:szCs w:val="32"/>
        </w:rPr>
        <w:t>社会保障和就业支出（类）</w:t>
      </w:r>
      <w:r>
        <w:rPr>
          <w:rFonts w:hint="eastAsia" w:ascii="仿宋" w:hAnsi="仿宋" w:eastAsia="仿宋" w:cs="仿宋"/>
          <w:b/>
          <w:bCs/>
          <w:color w:val="auto"/>
          <w:sz w:val="32"/>
          <w:szCs w:val="32"/>
          <w:lang w:val="en-US" w:eastAsia="zh-CN"/>
        </w:rPr>
        <w:t>行政事业单位养老支出（款）行政单位离退休（项）</w:t>
      </w:r>
      <w:r>
        <w:rPr>
          <w:rFonts w:hint="eastAsia" w:ascii="仿宋" w:hAnsi="仿宋" w:eastAsia="仿宋" w:cs="仿宋"/>
          <w:b/>
          <w:bCs/>
          <w:sz w:val="32"/>
          <w:szCs w:val="32"/>
        </w:rPr>
        <w:t>：</w:t>
      </w:r>
      <w:r>
        <w:rPr>
          <w:rFonts w:hint="eastAsia" w:ascii="仿宋" w:hAnsi="仿宋" w:eastAsia="仿宋" w:cs="仿宋"/>
          <w:b/>
          <w:bCs/>
          <w:sz w:val="32"/>
          <w:szCs w:val="32"/>
          <w:lang w:eastAsia="zh-CN"/>
        </w:rPr>
        <w:t>反映行政单位（包括实行公务员管理的事业单位）开支的离退休经费。</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15</w:t>
      </w:r>
      <w:r>
        <w:rPr>
          <w:rFonts w:hint="eastAsia" w:ascii="仿宋" w:hAnsi="仿宋" w:eastAsia="仿宋" w:cs="仿宋"/>
          <w:b/>
          <w:bCs/>
          <w:sz w:val="32"/>
          <w:szCs w:val="32"/>
        </w:rPr>
        <w:t>. 社会保障和就业支出（类）</w:t>
      </w:r>
      <w:r>
        <w:rPr>
          <w:rFonts w:hint="eastAsia" w:ascii="仿宋" w:hAnsi="仿宋" w:eastAsia="仿宋" w:cs="仿宋"/>
          <w:b/>
          <w:bCs/>
          <w:color w:val="auto"/>
          <w:sz w:val="32"/>
          <w:szCs w:val="32"/>
          <w:lang w:val="en-US" w:eastAsia="zh-CN"/>
        </w:rPr>
        <w:t>行政事业单位养老支出</w:t>
      </w:r>
      <w:r>
        <w:rPr>
          <w:rFonts w:hint="eastAsia" w:ascii="仿宋" w:hAnsi="仿宋" w:eastAsia="仿宋" w:cs="仿宋"/>
          <w:b/>
          <w:bCs/>
          <w:sz w:val="32"/>
          <w:szCs w:val="32"/>
        </w:rPr>
        <w:t>（款）机关事业单位基本养老保险缴费支出（项）：</w:t>
      </w:r>
      <w:r>
        <w:rPr>
          <w:rFonts w:hint="eastAsia" w:ascii="仿宋" w:hAnsi="仿宋" w:eastAsia="仿宋" w:cs="仿宋"/>
          <w:b/>
          <w:bCs/>
          <w:sz w:val="32"/>
          <w:szCs w:val="32"/>
          <w:lang w:eastAsia="zh-CN"/>
        </w:rPr>
        <w:t>反映机关事业单位实施养老保险制度由单位缴纳的基本养老保险费支出</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16</w:t>
      </w:r>
      <w:r>
        <w:rPr>
          <w:rFonts w:hint="eastAsia" w:ascii="仿宋" w:hAnsi="仿宋" w:eastAsia="仿宋" w:cs="仿宋"/>
          <w:b/>
          <w:bCs/>
          <w:sz w:val="32"/>
          <w:szCs w:val="32"/>
        </w:rPr>
        <w:t>．社会保障和就业支出（类）</w:t>
      </w:r>
      <w:r>
        <w:rPr>
          <w:rFonts w:hint="eastAsia" w:ascii="仿宋" w:hAnsi="仿宋" w:eastAsia="仿宋" w:cs="仿宋"/>
          <w:b/>
          <w:bCs/>
          <w:color w:val="auto"/>
          <w:sz w:val="32"/>
          <w:szCs w:val="32"/>
          <w:lang w:val="en-US" w:eastAsia="zh-CN"/>
        </w:rPr>
        <w:t>行政事业单位养老支出</w:t>
      </w:r>
      <w:r>
        <w:rPr>
          <w:rFonts w:hint="eastAsia" w:ascii="仿宋" w:hAnsi="仿宋" w:eastAsia="仿宋" w:cs="仿宋"/>
          <w:b/>
          <w:bCs/>
          <w:sz w:val="32"/>
          <w:szCs w:val="32"/>
        </w:rPr>
        <w:t>（款）机关事业单位职业年金缴费支出（项）：</w:t>
      </w:r>
      <w:r>
        <w:rPr>
          <w:rFonts w:hint="eastAsia" w:ascii="仿宋" w:hAnsi="仿宋" w:eastAsia="仿宋" w:cs="仿宋"/>
          <w:b/>
          <w:bCs/>
          <w:sz w:val="32"/>
          <w:szCs w:val="32"/>
          <w:lang w:eastAsia="zh-CN"/>
        </w:rPr>
        <w:t>反映机关事业单位实施养老保险制度由单位实际缴纳的职业年金支出</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17</w:t>
      </w:r>
      <w:r>
        <w:rPr>
          <w:rFonts w:hint="eastAsia" w:ascii="仿宋" w:hAnsi="仿宋" w:eastAsia="仿宋" w:cs="仿宋"/>
          <w:b/>
          <w:bCs/>
          <w:sz w:val="32"/>
          <w:szCs w:val="32"/>
        </w:rPr>
        <w:t>．</w:t>
      </w:r>
      <w:r>
        <w:rPr>
          <w:rFonts w:hint="eastAsia" w:ascii="仿宋" w:hAnsi="仿宋" w:eastAsia="仿宋" w:cs="仿宋"/>
          <w:b/>
          <w:bCs/>
          <w:sz w:val="32"/>
          <w:szCs w:val="32"/>
          <w:lang w:eastAsia="zh-CN"/>
        </w:rPr>
        <w:t>卫生健康</w:t>
      </w:r>
      <w:r>
        <w:rPr>
          <w:rFonts w:hint="eastAsia" w:ascii="仿宋" w:hAnsi="仿宋" w:eastAsia="仿宋" w:cs="仿宋"/>
          <w:b/>
          <w:bCs/>
          <w:sz w:val="32"/>
          <w:szCs w:val="32"/>
        </w:rPr>
        <w:t>支出（类）行政事业单位医疗（款）</w:t>
      </w:r>
      <w:r>
        <w:rPr>
          <w:rFonts w:hint="eastAsia" w:ascii="仿宋" w:hAnsi="仿宋" w:eastAsia="仿宋" w:cs="仿宋"/>
          <w:b/>
          <w:bCs/>
          <w:sz w:val="32"/>
          <w:szCs w:val="32"/>
          <w:lang w:eastAsia="zh-CN"/>
        </w:rPr>
        <w:t>行政单位医疗</w:t>
      </w:r>
      <w:r>
        <w:rPr>
          <w:rFonts w:hint="eastAsia" w:ascii="仿宋" w:hAnsi="仿宋" w:eastAsia="仿宋" w:cs="仿宋"/>
          <w:b/>
          <w:bCs/>
          <w:sz w:val="32"/>
          <w:szCs w:val="32"/>
        </w:rPr>
        <w:t>（项）：</w:t>
      </w:r>
      <w:r>
        <w:rPr>
          <w:rFonts w:hint="eastAsia" w:ascii="仿宋" w:hAnsi="仿宋" w:eastAsia="仿宋" w:cs="仿宋"/>
          <w:b/>
          <w:bCs/>
          <w:sz w:val="32"/>
          <w:szCs w:val="32"/>
          <w:lang w:eastAsia="zh-CN"/>
        </w:rPr>
        <w:t>反映财政部安排的行政单位（包括实行公务员管理的事业单位）基本医疗保险缴费经费</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18</w:t>
      </w:r>
      <w:r>
        <w:rPr>
          <w:rFonts w:hint="eastAsia" w:ascii="仿宋" w:hAnsi="仿宋" w:eastAsia="仿宋" w:cs="仿宋"/>
          <w:b/>
          <w:bCs/>
          <w:sz w:val="32"/>
          <w:szCs w:val="32"/>
        </w:rPr>
        <w:t>．</w:t>
      </w:r>
      <w:r>
        <w:rPr>
          <w:rFonts w:hint="eastAsia" w:ascii="仿宋" w:hAnsi="仿宋" w:eastAsia="仿宋" w:cs="仿宋"/>
          <w:b/>
          <w:bCs/>
          <w:sz w:val="32"/>
          <w:szCs w:val="32"/>
          <w:lang w:eastAsia="zh-CN"/>
        </w:rPr>
        <w:t>卫生健康</w:t>
      </w:r>
      <w:r>
        <w:rPr>
          <w:rFonts w:hint="eastAsia" w:ascii="仿宋" w:hAnsi="仿宋" w:eastAsia="仿宋" w:cs="仿宋"/>
          <w:b/>
          <w:bCs/>
          <w:sz w:val="32"/>
          <w:szCs w:val="32"/>
        </w:rPr>
        <w:t>支出（类）行政事业单位医疗（款）公务员医疗补助（项）：</w:t>
      </w:r>
      <w:r>
        <w:rPr>
          <w:rFonts w:hint="eastAsia" w:ascii="仿宋" w:hAnsi="仿宋" w:eastAsia="仿宋" w:cs="仿宋"/>
          <w:b/>
          <w:bCs/>
          <w:sz w:val="32"/>
          <w:szCs w:val="32"/>
          <w:lang w:eastAsia="zh-CN"/>
        </w:rPr>
        <w:t>反映财政部安排的公务员医疗补助经费</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19</w:t>
      </w:r>
      <w:r>
        <w:rPr>
          <w:rFonts w:hint="eastAsia" w:ascii="仿宋" w:hAnsi="仿宋" w:eastAsia="仿宋" w:cs="仿宋"/>
          <w:b/>
          <w:bCs/>
          <w:sz w:val="32"/>
          <w:szCs w:val="32"/>
        </w:rPr>
        <w:t>．</w:t>
      </w:r>
      <w:r>
        <w:rPr>
          <w:rFonts w:hint="eastAsia" w:ascii="仿宋" w:hAnsi="仿宋" w:eastAsia="仿宋" w:cs="仿宋"/>
          <w:b/>
          <w:bCs/>
          <w:sz w:val="32"/>
          <w:szCs w:val="32"/>
          <w:lang w:eastAsia="zh-CN"/>
        </w:rPr>
        <w:t>住房保障</w:t>
      </w:r>
      <w:r>
        <w:rPr>
          <w:rFonts w:hint="eastAsia" w:ascii="仿宋" w:hAnsi="仿宋" w:eastAsia="仿宋" w:cs="仿宋"/>
          <w:b/>
          <w:bCs/>
          <w:sz w:val="32"/>
          <w:szCs w:val="32"/>
        </w:rPr>
        <w:t>支出（类）住房改革支出（款）住房公积金（项）：</w:t>
      </w:r>
      <w:r>
        <w:rPr>
          <w:rFonts w:hint="eastAsia" w:ascii="仿宋" w:hAnsi="仿宋" w:eastAsia="仿宋" w:cs="仿宋"/>
          <w:b/>
          <w:bCs/>
          <w:sz w:val="32"/>
          <w:szCs w:val="32"/>
          <w:lang w:eastAsia="zh-CN"/>
        </w:rPr>
        <w:t>反映行政事业单位按人力资源和社会保障部、财政部规定的基本工资和津贴补贴以及规定比例为职工缴纳的住房公积金</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20</w:t>
      </w:r>
      <w:r>
        <w:rPr>
          <w:rFonts w:hint="eastAsia" w:ascii="仿宋" w:hAnsi="仿宋" w:eastAsia="仿宋" w:cs="仿宋"/>
          <w:b/>
          <w:bCs/>
          <w:sz w:val="32"/>
          <w:szCs w:val="32"/>
        </w:rPr>
        <w:t>．</w:t>
      </w:r>
      <w:r>
        <w:rPr>
          <w:rFonts w:hint="eastAsia" w:ascii="仿宋" w:hAnsi="仿宋" w:eastAsia="仿宋" w:cs="仿宋"/>
          <w:b/>
          <w:bCs/>
          <w:sz w:val="32"/>
          <w:szCs w:val="32"/>
          <w:lang w:eastAsia="zh-CN"/>
        </w:rPr>
        <w:t>住房保障</w:t>
      </w:r>
      <w:r>
        <w:rPr>
          <w:rFonts w:hint="eastAsia" w:ascii="仿宋" w:hAnsi="仿宋" w:eastAsia="仿宋" w:cs="仿宋"/>
          <w:b/>
          <w:bCs/>
          <w:sz w:val="32"/>
          <w:szCs w:val="32"/>
        </w:rPr>
        <w:t>支出（类）住房改革支出（款）购房补贴（项）：</w:t>
      </w:r>
      <w:r>
        <w:rPr>
          <w:rFonts w:hint="eastAsia" w:ascii="仿宋" w:hAnsi="仿宋" w:eastAsia="仿宋" w:cs="仿宋"/>
          <w:b/>
          <w:bCs/>
          <w:sz w:val="32"/>
          <w:szCs w:val="32"/>
          <w:lang w:eastAsia="zh-CN"/>
        </w:rPr>
        <w:t>反映按房改政策规定的标准，行政事业单位向符合条件职工发放的用于购买住房的补贴</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21</w:t>
      </w:r>
      <w:r>
        <w:rPr>
          <w:rFonts w:hint="eastAsia" w:ascii="仿宋" w:hAnsi="仿宋" w:eastAsia="仿宋" w:cs="仿宋"/>
          <w:b/>
          <w:bCs/>
          <w:sz w:val="32"/>
          <w:szCs w:val="32"/>
        </w:rPr>
        <w:t>．</w:t>
      </w:r>
      <w:r>
        <w:rPr>
          <w:rFonts w:hint="eastAsia" w:ascii="仿宋" w:hAnsi="仿宋" w:eastAsia="仿宋" w:cs="仿宋"/>
          <w:b/>
          <w:bCs/>
          <w:sz w:val="32"/>
          <w:szCs w:val="32"/>
          <w:lang w:eastAsia="zh-CN"/>
        </w:rPr>
        <w:t>灾害防治及应急管理支出</w:t>
      </w:r>
      <w:r>
        <w:rPr>
          <w:rFonts w:hint="eastAsia" w:ascii="仿宋" w:hAnsi="仿宋" w:eastAsia="仿宋" w:cs="仿宋"/>
          <w:b/>
          <w:bCs/>
          <w:sz w:val="32"/>
          <w:szCs w:val="32"/>
        </w:rPr>
        <w:t>（类）</w:t>
      </w:r>
      <w:r>
        <w:rPr>
          <w:rFonts w:hint="eastAsia" w:ascii="仿宋" w:hAnsi="仿宋" w:eastAsia="仿宋" w:cs="仿宋"/>
          <w:b/>
          <w:bCs/>
          <w:sz w:val="32"/>
          <w:szCs w:val="32"/>
          <w:lang w:eastAsia="zh-CN"/>
        </w:rPr>
        <w:t>应急管理事务</w:t>
      </w:r>
      <w:r>
        <w:rPr>
          <w:rFonts w:hint="eastAsia" w:ascii="仿宋" w:hAnsi="仿宋" w:eastAsia="仿宋" w:cs="仿宋"/>
          <w:b/>
          <w:bCs/>
          <w:sz w:val="32"/>
          <w:szCs w:val="32"/>
        </w:rPr>
        <w:t>（款）</w:t>
      </w:r>
      <w:r>
        <w:rPr>
          <w:rFonts w:hint="eastAsia" w:ascii="仿宋" w:hAnsi="仿宋" w:eastAsia="仿宋" w:cs="仿宋"/>
          <w:b/>
          <w:bCs/>
          <w:sz w:val="32"/>
          <w:szCs w:val="32"/>
          <w:lang w:eastAsia="zh-CN"/>
        </w:rPr>
        <w:t>其他应急管理支出</w:t>
      </w:r>
      <w:r>
        <w:rPr>
          <w:rFonts w:hint="eastAsia" w:ascii="仿宋" w:hAnsi="仿宋" w:eastAsia="仿宋" w:cs="仿宋"/>
          <w:b/>
          <w:bCs/>
          <w:sz w:val="32"/>
          <w:szCs w:val="32"/>
        </w:rPr>
        <w:t>（项）：</w:t>
      </w:r>
      <w:r>
        <w:rPr>
          <w:rFonts w:hint="eastAsia" w:ascii="仿宋" w:hAnsi="仿宋" w:eastAsia="仿宋" w:cs="仿宋"/>
          <w:b/>
          <w:bCs/>
          <w:sz w:val="32"/>
          <w:szCs w:val="32"/>
          <w:lang w:eastAsia="zh-CN"/>
        </w:rPr>
        <w:t>反映其他应急管理方面的支出</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lang w:val="en-US" w:eastAsia="zh-CN"/>
        </w:rPr>
        <w:t>22</w:t>
      </w:r>
      <w:r>
        <w:rPr>
          <w:rFonts w:hint="eastAsia" w:ascii="仿宋" w:hAnsi="仿宋" w:eastAsia="仿宋" w:cs="仿宋"/>
          <w:b/>
          <w:bCs/>
          <w:sz w:val="32"/>
          <w:szCs w:val="32"/>
        </w:rPr>
        <w:t>．</w:t>
      </w:r>
      <w:r>
        <w:rPr>
          <w:rFonts w:hint="eastAsia" w:ascii="仿宋" w:hAnsi="仿宋" w:eastAsia="仿宋" w:cs="仿宋"/>
          <w:b/>
          <w:bCs/>
          <w:sz w:val="32"/>
          <w:szCs w:val="32"/>
          <w:lang w:eastAsia="zh-CN"/>
        </w:rPr>
        <w:t>其他支出</w:t>
      </w:r>
      <w:r>
        <w:rPr>
          <w:rFonts w:hint="eastAsia" w:ascii="仿宋" w:hAnsi="仿宋" w:eastAsia="仿宋" w:cs="仿宋"/>
          <w:b/>
          <w:bCs/>
          <w:sz w:val="32"/>
          <w:szCs w:val="32"/>
        </w:rPr>
        <w:t>（类）</w:t>
      </w:r>
      <w:r>
        <w:rPr>
          <w:rFonts w:hint="eastAsia" w:ascii="仿宋" w:hAnsi="仿宋" w:eastAsia="仿宋" w:cs="仿宋"/>
          <w:b/>
          <w:bCs/>
          <w:sz w:val="32"/>
          <w:szCs w:val="32"/>
          <w:lang w:eastAsia="zh-CN"/>
        </w:rPr>
        <w:t>其他支出</w:t>
      </w:r>
      <w:r>
        <w:rPr>
          <w:rFonts w:hint="eastAsia" w:ascii="仿宋" w:hAnsi="仿宋" w:eastAsia="仿宋" w:cs="仿宋"/>
          <w:b/>
          <w:bCs/>
          <w:sz w:val="32"/>
          <w:szCs w:val="32"/>
        </w:rPr>
        <w:t>（款）</w:t>
      </w:r>
      <w:r>
        <w:rPr>
          <w:rFonts w:hint="eastAsia" w:ascii="仿宋" w:hAnsi="仿宋" w:eastAsia="仿宋" w:cs="仿宋"/>
          <w:b/>
          <w:bCs/>
          <w:sz w:val="32"/>
          <w:szCs w:val="32"/>
          <w:lang w:eastAsia="zh-CN"/>
        </w:rPr>
        <w:t>其他支出</w:t>
      </w:r>
      <w:r>
        <w:rPr>
          <w:rFonts w:hint="eastAsia" w:ascii="仿宋" w:hAnsi="仿宋" w:eastAsia="仿宋" w:cs="仿宋"/>
          <w:b/>
          <w:bCs/>
          <w:sz w:val="32"/>
          <w:szCs w:val="32"/>
        </w:rPr>
        <w:t>（项）：</w:t>
      </w:r>
      <w:r>
        <w:rPr>
          <w:rFonts w:hint="eastAsia" w:ascii="仿宋" w:hAnsi="仿宋" w:eastAsia="仿宋" w:cs="仿宋"/>
          <w:b/>
          <w:bCs/>
          <w:sz w:val="32"/>
          <w:szCs w:val="32"/>
          <w:lang w:eastAsia="zh-CN"/>
        </w:rPr>
        <w:t>反映其他不能划分到具体功能科目中的支出项目</w:t>
      </w:r>
      <w:r>
        <w:rPr>
          <w:rFonts w:hint="eastAsia" w:ascii="仿宋" w:hAnsi="仿宋" w:eastAsia="仿宋" w:cs="仿宋"/>
          <w:b/>
          <w:bCs/>
          <w:sz w:val="32"/>
          <w:szCs w:val="32"/>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ascii="仿宋" w:hAnsi="仿宋" w:eastAsia="仿宋" w:cs="仿宋"/>
          <w:b/>
          <w:bCs/>
          <w:sz w:val="32"/>
          <w:szCs w:val="32"/>
        </w:rPr>
      </w:pPr>
    </w:p>
    <w:p>
      <w:pPr>
        <w:keepNext w:val="0"/>
        <w:keepLines w:val="0"/>
        <w:pageBreakBefore w:val="0"/>
        <w:widowControl w:val="0"/>
        <w:kinsoku/>
        <w:wordWrap/>
        <w:overflowPunct/>
        <w:topLinePunct w:val="0"/>
        <w:autoSpaceDE/>
        <w:autoSpaceDN/>
        <w:bidi w:val="0"/>
        <w:adjustRightInd w:val="0"/>
        <w:snapToGrid w:val="0"/>
        <w:spacing w:line="580" w:lineRule="exact"/>
        <w:textAlignment w:val="auto"/>
        <w:rPr>
          <w:rFonts w:hint="default" w:ascii="仿宋" w:hAnsi="仿宋" w:eastAsia="仿宋" w:cs="仿宋"/>
          <w:b/>
          <w:bCs/>
          <w:sz w:val="32"/>
          <w:szCs w:val="32"/>
        </w:rPr>
      </w:pPr>
    </w:p>
    <w:p>
      <w:pPr>
        <w:pageBreakBefore w:val="0"/>
        <w:numPr>
          <w:ilvl w:val="0"/>
          <w:numId w:val="11"/>
        </w:numPr>
        <w:kinsoku/>
        <w:wordWrap/>
        <w:overflowPunct/>
        <w:topLinePunct w:val="0"/>
        <w:bidi w:val="0"/>
        <w:adjustRightInd w:val="0"/>
        <w:snapToGrid w:val="0"/>
        <w:spacing w:afterAutospacing="0" w:line="360" w:lineRule="auto"/>
        <w:ind w:firstLine="663" w:firstLineChars="150"/>
        <w:jc w:val="center"/>
        <w:outlineLvl w:val="0"/>
        <w:rPr>
          <w:rStyle w:val="25"/>
          <w:rFonts w:hint="default" w:ascii="Times New Roman" w:hAnsi="Times New Roman" w:eastAsia="黑体" w:cs="Times New Roman"/>
          <w:b/>
          <w:bCs/>
        </w:rPr>
      </w:pPr>
      <w:bookmarkStart w:id="79" w:name="_Toc15108"/>
      <w:r>
        <w:rPr>
          <w:rStyle w:val="25"/>
          <w:rFonts w:hint="eastAsia" w:eastAsia="黑体" w:cs="Times New Roman"/>
          <w:b/>
          <w:bCs/>
          <w:lang w:eastAsia="zh-CN"/>
        </w:rPr>
        <w:t>附件</w:t>
      </w:r>
      <w:bookmarkEnd w:id="79"/>
    </w:p>
    <w:p>
      <w:pPr>
        <w:snapToGrid w:val="0"/>
        <w:spacing w:beforeAutospacing="0" w:line="600" w:lineRule="exact"/>
        <w:jc w:val="center"/>
        <w:rPr>
          <w:rFonts w:ascii="方正小标宋简体" w:hAnsi="宋体" w:eastAsia="方正小标宋简体"/>
          <w:b/>
          <w:sz w:val="44"/>
          <w:szCs w:val="44"/>
        </w:rPr>
      </w:pPr>
      <w:r>
        <w:rPr>
          <w:rFonts w:hint="eastAsia" w:ascii="方正小标宋简体" w:hAnsi="宋体" w:eastAsia="方正小标宋简体"/>
          <w:b/>
          <w:sz w:val="44"/>
          <w:szCs w:val="44"/>
          <w:lang w:eastAsia="zh-CN"/>
        </w:rPr>
        <w:t>单位</w:t>
      </w:r>
      <w:r>
        <w:rPr>
          <w:rFonts w:hint="eastAsia" w:ascii="方正小标宋简体" w:hAnsi="宋体" w:eastAsia="方正小标宋简体"/>
          <w:b/>
          <w:sz w:val="44"/>
          <w:szCs w:val="44"/>
        </w:rPr>
        <w:t>预算项目支出绩效自评报告</w:t>
      </w:r>
    </w:p>
    <w:p>
      <w:pPr>
        <w:tabs>
          <w:tab w:val="left" w:pos="3885"/>
        </w:tabs>
        <w:snapToGrid w:val="0"/>
        <w:spacing w:line="600" w:lineRule="exact"/>
        <w:jc w:val="center"/>
        <w:rPr>
          <w:rFonts w:ascii="宋体" w:hAnsi="宋体"/>
          <w:b/>
          <w:szCs w:val="21"/>
        </w:rPr>
      </w:pPr>
      <w:r>
        <w:rPr>
          <w:rFonts w:hint="eastAsia" w:ascii="楷体" w:hAnsi="楷体" w:eastAsia="楷体" w:cs="楷体"/>
          <w:b/>
          <w:sz w:val="32"/>
          <w:szCs w:val="32"/>
        </w:rPr>
        <w:t>（</w:t>
      </w:r>
      <w:r>
        <w:rPr>
          <w:rFonts w:hint="eastAsia" w:ascii="楷体" w:hAnsi="楷体" w:eastAsia="楷体" w:cs="楷体"/>
          <w:b/>
          <w:sz w:val="32"/>
          <w:szCs w:val="32"/>
          <w:lang w:eastAsia="zh-CN"/>
        </w:rPr>
        <w:t>省委办公厅专项工作经费</w:t>
      </w:r>
      <w:r>
        <w:rPr>
          <w:rFonts w:hint="eastAsia" w:ascii="楷体" w:hAnsi="楷体" w:eastAsia="楷体" w:cs="楷体"/>
          <w:b/>
          <w:sz w:val="32"/>
          <w:szCs w:val="32"/>
        </w:rPr>
        <w:t>）</w:t>
      </w:r>
    </w:p>
    <w:p>
      <w:pPr>
        <w:numPr>
          <w:ilvl w:val="0"/>
          <w:numId w:val="12"/>
        </w:numPr>
        <w:tabs>
          <w:tab w:val="left" w:pos="3885"/>
        </w:tabs>
        <w:snapToGrid w:val="0"/>
        <w:spacing w:line="56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rPr>
        <w:t>基本情况</w:t>
      </w:r>
    </w:p>
    <w:p>
      <w:pPr>
        <w:pStyle w:val="24"/>
        <w:numPr>
          <w:ilvl w:val="0"/>
          <w:numId w:val="0"/>
        </w:numPr>
        <w:tabs>
          <w:tab w:val="left" w:pos="3885"/>
        </w:tabs>
        <w:snapToGrid w:val="0"/>
        <w:spacing w:line="560" w:lineRule="exact"/>
        <w:ind w:left="640" w:leftChars="0"/>
        <w:jc w:val="left"/>
        <w:rPr>
          <w:rFonts w:hint="eastAsia" w:ascii="楷体" w:hAnsi="楷体" w:eastAsia="楷体" w:cs="楷体"/>
          <w:b/>
          <w:sz w:val="32"/>
          <w:szCs w:val="32"/>
        </w:rPr>
      </w:pPr>
      <w:r>
        <w:rPr>
          <w:rFonts w:hint="eastAsia" w:ascii="楷体" w:hAnsi="楷体" w:eastAsia="楷体" w:cs="楷体"/>
          <w:b/>
          <w:sz w:val="32"/>
          <w:szCs w:val="32"/>
          <w:lang w:eastAsia="zh-CN"/>
        </w:rPr>
        <w:t>（一）</w:t>
      </w:r>
      <w:r>
        <w:rPr>
          <w:rFonts w:hint="eastAsia" w:ascii="楷体" w:hAnsi="楷体" w:eastAsia="楷体" w:cs="楷体"/>
          <w:b/>
          <w:sz w:val="32"/>
          <w:szCs w:val="32"/>
        </w:rPr>
        <w:t>项目概况</w:t>
      </w:r>
    </w:p>
    <w:p>
      <w:pPr>
        <w:tabs>
          <w:tab w:val="left" w:pos="3885"/>
        </w:tabs>
        <w:snapToGrid w:val="0"/>
        <w:spacing w:line="560" w:lineRule="exact"/>
        <w:ind w:firstLine="643" w:firstLineChars="200"/>
        <w:jc w:val="both"/>
        <w:rPr>
          <w:rFonts w:hint="eastAsia" w:ascii="仿宋" w:hAnsi="仿宋" w:eastAsia="仿宋" w:cs="仿宋"/>
          <w:b/>
          <w:bCs/>
          <w:sz w:val="32"/>
          <w:szCs w:val="32"/>
        </w:rPr>
      </w:pPr>
      <w:r>
        <w:rPr>
          <w:rFonts w:hint="eastAsia" w:ascii="仿宋" w:hAnsi="仿宋" w:eastAsia="仿宋" w:cs="仿宋"/>
          <w:b/>
          <w:bCs/>
          <w:sz w:val="32"/>
          <w:szCs w:val="32"/>
          <w:lang w:eastAsia="zh-CN"/>
        </w:rPr>
        <w:t>该项目主要为省委办公厅劳务派遣人员提供劳务支持，保障省委领导会见会谈和省委办公厅机关后勤服务工作正常开展</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rPr>
      </w:pPr>
      <w:r>
        <w:rPr>
          <w:rFonts w:hint="eastAsia" w:ascii="楷体" w:hAnsi="楷体" w:eastAsia="楷体" w:cs="楷体"/>
          <w:b/>
          <w:sz w:val="32"/>
          <w:szCs w:val="32"/>
        </w:rPr>
        <w:t>（二）项目实施情况</w:t>
      </w:r>
    </w:p>
    <w:p>
      <w:pPr>
        <w:spacing w:line="560" w:lineRule="exact"/>
        <w:ind w:firstLine="660"/>
        <w:rPr>
          <w:rFonts w:hint="eastAsia" w:ascii="仿宋" w:hAnsi="仿宋" w:eastAsia="仿宋" w:cs="仿宋"/>
          <w:b/>
          <w:bCs/>
          <w:sz w:val="32"/>
          <w:szCs w:val="32"/>
        </w:rPr>
      </w:pPr>
      <w:r>
        <w:rPr>
          <w:rFonts w:hint="eastAsia" w:ascii="仿宋" w:hAnsi="仿宋" w:eastAsia="仿宋" w:cs="仿宋"/>
          <w:b/>
          <w:bCs/>
          <w:sz w:val="32"/>
          <w:szCs w:val="32"/>
          <w:lang w:val="en-US" w:eastAsia="zh-CN"/>
        </w:rPr>
        <w:t>2020年项目实施单位在新冠疫情特殊条件下仍然圆满完成全年目标任务，为全厅114名劳务派遣人员提供保障服务，顺利保障省委领导会见会谈11次，机关后勤服务水平有所提高，后勤保障工作得到了全厅干部职工的认可，满意度为97%</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lang w:eastAsia="zh-CN"/>
        </w:rPr>
      </w:pPr>
      <w:r>
        <w:rPr>
          <w:rFonts w:hint="eastAsia" w:ascii="楷体" w:hAnsi="楷体" w:eastAsia="楷体" w:cs="楷体"/>
          <w:b/>
          <w:sz w:val="32"/>
          <w:szCs w:val="32"/>
          <w:lang w:eastAsia="zh-CN"/>
        </w:rPr>
        <w:t>（三）资金使用及绩效情况</w:t>
      </w:r>
    </w:p>
    <w:p>
      <w:pPr>
        <w:overflowPunct w:val="0"/>
        <w:spacing w:line="560" w:lineRule="exact"/>
        <w:ind w:firstLine="643" w:firstLineChars="200"/>
        <w:rPr>
          <w:rFonts w:hint="eastAsia" w:ascii="仿宋" w:hAnsi="仿宋" w:eastAsia="仿宋" w:cs="仿宋"/>
          <w:b/>
          <w:bCs/>
          <w:spacing w:val="-2"/>
          <w:sz w:val="32"/>
          <w:szCs w:val="32"/>
        </w:rPr>
      </w:pPr>
      <w:r>
        <w:rPr>
          <w:rFonts w:hint="eastAsia" w:ascii="仿宋" w:hAnsi="仿宋" w:eastAsia="仿宋" w:cs="仿宋"/>
          <w:b/>
          <w:bCs/>
          <w:sz w:val="32"/>
          <w:szCs w:val="32"/>
        </w:rPr>
        <w:t>2020年该项</w:t>
      </w:r>
      <w:r>
        <w:rPr>
          <w:rFonts w:hint="eastAsia" w:ascii="仿宋" w:hAnsi="仿宋" w:eastAsia="仿宋" w:cs="仿宋"/>
          <w:b/>
          <w:bCs/>
          <w:sz w:val="32"/>
          <w:szCs w:val="32"/>
          <w:lang w:eastAsia="zh-CN"/>
        </w:rPr>
        <w:t>目</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年初预算为</w:t>
      </w:r>
      <w:r>
        <w:rPr>
          <w:rFonts w:hint="eastAsia" w:ascii="仿宋" w:hAnsi="仿宋" w:eastAsia="仿宋" w:cs="仿宋"/>
          <w:b/>
          <w:bCs/>
          <w:sz w:val="32"/>
          <w:szCs w:val="32"/>
          <w:lang w:val="en-US" w:eastAsia="zh-CN"/>
        </w:rPr>
        <w:t>860.05万元，预算执行中调增140万元，实际</w:t>
      </w:r>
      <w:r>
        <w:rPr>
          <w:rFonts w:hint="eastAsia" w:ascii="仿宋" w:hAnsi="仿宋" w:eastAsia="仿宋" w:cs="仿宋"/>
          <w:b/>
          <w:bCs/>
          <w:sz w:val="32"/>
          <w:szCs w:val="32"/>
        </w:rPr>
        <w:t>支出</w:t>
      </w:r>
      <w:r>
        <w:rPr>
          <w:rFonts w:hint="eastAsia" w:ascii="仿宋" w:hAnsi="仿宋" w:eastAsia="仿宋" w:cs="仿宋"/>
          <w:b/>
          <w:bCs/>
          <w:sz w:val="32"/>
          <w:szCs w:val="32"/>
          <w:lang w:val="en-US" w:eastAsia="zh-CN"/>
        </w:rPr>
        <w:t>1000.05</w:t>
      </w:r>
      <w:r>
        <w:rPr>
          <w:rFonts w:hint="eastAsia" w:ascii="仿宋" w:hAnsi="仿宋" w:eastAsia="仿宋" w:cs="仿宋"/>
          <w:b/>
          <w:bCs/>
          <w:sz w:val="32"/>
          <w:szCs w:val="32"/>
        </w:rPr>
        <w:t>万元，预算执行率</w:t>
      </w:r>
      <w:r>
        <w:rPr>
          <w:rFonts w:hint="eastAsia" w:ascii="仿宋" w:hAnsi="仿宋" w:eastAsia="仿宋" w:cs="仿宋"/>
          <w:b/>
          <w:bCs/>
          <w:sz w:val="32"/>
          <w:szCs w:val="32"/>
          <w:lang w:eastAsia="zh-CN"/>
        </w:rPr>
        <w:t>为</w:t>
      </w:r>
      <w:r>
        <w:rPr>
          <w:rFonts w:hint="eastAsia" w:ascii="仿宋" w:hAnsi="仿宋" w:eastAsia="仿宋" w:cs="仿宋"/>
          <w:b/>
          <w:bCs/>
          <w:sz w:val="32"/>
          <w:szCs w:val="32"/>
          <w:lang w:val="en-US" w:eastAsia="zh-CN"/>
        </w:rPr>
        <w:t>100</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二、评价工作开展情况</w:t>
      </w:r>
    </w:p>
    <w:p>
      <w:pPr>
        <w:snapToGrid w:val="0"/>
        <w:spacing w:line="560" w:lineRule="exact"/>
        <w:ind w:firstLine="643" w:firstLineChars="200"/>
        <w:rPr>
          <w:rFonts w:ascii="仿宋_GB2312" w:hAnsi="仿宋_GB2312" w:cs="仿宋_GB2312"/>
          <w:sz w:val="32"/>
          <w:szCs w:val="32"/>
        </w:rPr>
      </w:pPr>
      <w:r>
        <w:rPr>
          <w:rFonts w:hint="eastAsia" w:ascii="仿宋" w:hAnsi="仿宋" w:eastAsia="仿宋" w:cs="仿宋"/>
          <w:b/>
          <w:bCs/>
          <w:sz w:val="32"/>
          <w:szCs w:val="32"/>
          <w:lang w:eastAsia="zh-CN"/>
        </w:rPr>
        <w:t>省委办公厅专项工作</w:t>
      </w:r>
      <w:r>
        <w:rPr>
          <w:rFonts w:hint="eastAsia" w:ascii="仿宋" w:hAnsi="仿宋" w:eastAsia="仿宋" w:cs="仿宋"/>
          <w:b/>
          <w:bCs/>
          <w:sz w:val="32"/>
          <w:szCs w:val="32"/>
        </w:rPr>
        <w:t>经费由</w:t>
      </w:r>
      <w:r>
        <w:rPr>
          <w:rFonts w:hint="eastAsia" w:ascii="仿宋" w:hAnsi="仿宋" w:eastAsia="仿宋" w:cs="仿宋"/>
          <w:b/>
          <w:bCs/>
          <w:sz w:val="32"/>
          <w:szCs w:val="32"/>
          <w:lang w:eastAsia="zh-CN"/>
        </w:rPr>
        <w:t>省委办公厅财务处和项目实施单位共同</w:t>
      </w:r>
      <w:r>
        <w:rPr>
          <w:rFonts w:hint="eastAsia" w:ascii="仿宋" w:hAnsi="仿宋" w:eastAsia="仿宋" w:cs="仿宋"/>
          <w:b/>
          <w:bCs/>
          <w:sz w:val="32"/>
          <w:szCs w:val="32"/>
        </w:rPr>
        <w:t>开展绩效评价工作。</w:t>
      </w:r>
      <w:r>
        <w:rPr>
          <w:rFonts w:hint="eastAsia" w:ascii="仿宋" w:hAnsi="仿宋" w:eastAsia="仿宋" w:cs="仿宋"/>
          <w:b/>
          <w:bCs/>
          <w:sz w:val="32"/>
          <w:szCs w:val="32"/>
          <w:lang w:eastAsia="zh-CN"/>
        </w:rPr>
        <w:t>按照项目支出</w:t>
      </w:r>
      <w:r>
        <w:rPr>
          <w:rFonts w:hint="eastAsia" w:ascii="仿宋" w:hAnsi="仿宋" w:eastAsia="仿宋" w:cs="仿宋"/>
          <w:b/>
          <w:bCs/>
          <w:sz w:val="32"/>
          <w:szCs w:val="32"/>
        </w:rPr>
        <w:t>绩效评价</w:t>
      </w:r>
      <w:r>
        <w:rPr>
          <w:rFonts w:hint="eastAsia" w:ascii="仿宋" w:hAnsi="仿宋" w:eastAsia="仿宋" w:cs="仿宋"/>
          <w:b/>
          <w:bCs/>
          <w:sz w:val="32"/>
          <w:szCs w:val="32"/>
          <w:lang w:eastAsia="zh-CN"/>
        </w:rPr>
        <w:t>办法</w:t>
      </w:r>
      <w:r>
        <w:rPr>
          <w:rFonts w:hint="eastAsia" w:ascii="仿宋" w:hAnsi="仿宋" w:eastAsia="仿宋" w:cs="仿宋"/>
          <w:b/>
          <w:bCs/>
          <w:sz w:val="32"/>
          <w:szCs w:val="32"/>
        </w:rPr>
        <w:t>，结合</w:t>
      </w:r>
      <w:r>
        <w:rPr>
          <w:rFonts w:hint="eastAsia" w:ascii="仿宋" w:hAnsi="仿宋" w:eastAsia="仿宋" w:cs="仿宋"/>
          <w:b/>
          <w:bCs/>
          <w:sz w:val="32"/>
          <w:szCs w:val="32"/>
          <w:lang w:eastAsia="zh-CN"/>
        </w:rPr>
        <w:t>省委办公厅专项工作</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项目实际，梳理、明确项目支出绩效评分体系。在此基础上，依据</w:t>
      </w:r>
      <w:r>
        <w:rPr>
          <w:rFonts w:hint="eastAsia" w:ascii="仿宋" w:hAnsi="仿宋" w:eastAsia="仿宋" w:cs="仿宋"/>
          <w:b/>
          <w:bCs/>
          <w:sz w:val="32"/>
          <w:szCs w:val="32"/>
          <w:lang w:val="en-US" w:eastAsia="zh-CN"/>
        </w:rPr>
        <w:t>2020年度</w:t>
      </w:r>
      <w:r>
        <w:rPr>
          <w:rFonts w:hint="eastAsia" w:ascii="仿宋" w:hAnsi="仿宋" w:eastAsia="仿宋" w:cs="仿宋"/>
          <w:b/>
          <w:bCs/>
          <w:sz w:val="32"/>
          <w:szCs w:val="32"/>
          <w:lang w:eastAsia="zh-CN"/>
        </w:rPr>
        <w:t>省委办公厅专项工作</w:t>
      </w:r>
      <w:r>
        <w:rPr>
          <w:rFonts w:hint="eastAsia" w:ascii="仿宋" w:hAnsi="仿宋" w:eastAsia="仿宋" w:cs="仿宋"/>
          <w:b/>
          <w:bCs/>
          <w:sz w:val="32"/>
          <w:szCs w:val="32"/>
        </w:rPr>
        <w:t>经费</w:t>
      </w:r>
      <w:r>
        <w:rPr>
          <w:rFonts w:hint="eastAsia" w:ascii="仿宋" w:hAnsi="仿宋" w:eastAsia="仿宋" w:cs="仿宋"/>
          <w:b/>
          <w:bCs/>
          <w:sz w:val="32"/>
          <w:szCs w:val="32"/>
          <w:lang w:val="en-US" w:eastAsia="zh-CN"/>
        </w:rPr>
        <w:t>使用情况和年度绩效目标完成情况，对项目支出绩效进行综合评价</w:t>
      </w:r>
      <w:r>
        <w:rPr>
          <w:rFonts w:hint="eastAsia" w:ascii="仿宋" w:hAnsi="仿宋" w:eastAsia="仿宋" w:cs="仿宋"/>
          <w:b/>
          <w:bCs/>
          <w:sz w:val="32"/>
          <w:szCs w:val="32"/>
        </w:rPr>
        <w:t>。评价方法主要采用</w:t>
      </w:r>
      <w:r>
        <w:rPr>
          <w:rFonts w:hint="eastAsia" w:ascii="仿宋" w:hAnsi="仿宋" w:eastAsia="仿宋" w:cs="仿宋"/>
          <w:b/>
          <w:bCs/>
          <w:sz w:val="32"/>
          <w:szCs w:val="32"/>
          <w:lang w:eastAsia="zh-CN"/>
        </w:rPr>
        <w:t>比率分值法、分级评分法和缺（错）项扣分法</w:t>
      </w:r>
      <w:r>
        <w:rPr>
          <w:rFonts w:hint="eastAsia" w:ascii="仿宋" w:hAnsi="仿宋" w:eastAsia="仿宋" w:cs="仿宋"/>
          <w:b/>
          <w:bCs/>
          <w:sz w:val="32"/>
          <w:szCs w:val="32"/>
        </w:rPr>
        <w:t>，将年初绩效目标</w:t>
      </w:r>
      <w:r>
        <w:rPr>
          <w:rFonts w:hint="eastAsia" w:ascii="仿宋" w:hAnsi="仿宋" w:eastAsia="仿宋" w:cs="仿宋"/>
          <w:b/>
          <w:bCs/>
          <w:sz w:val="32"/>
          <w:szCs w:val="32"/>
          <w:lang w:eastAsia="zh-CN"/>
        </w:rPr>
        <w:t>与</w:t>
      </w:r>
      <w:r>
        <w:rPr>
          <w:rFonts w:hint="eastAsia" w:ascii="仿宋" w:hAnsi="仿宋" w:eastAsia="仿宋" w:cs="仿宋"/>
          <w:b/>
          <w:bCs/>
          <w:sz w:val="32"/>
          <w:szCs w:val="32"/>
        </w:rPr>
        <w:t>项目实际</w:t>
      </w:r>
      <w:r>
        <w:rPr>
          <w:rFonts w:hint="eastAsia" w:ascii="仿宋" w:hAnsi="仿宋" w:eastAsia="仿宋" w:cs="仿宋"/>
          <w:b/>
          <w:bCs/>
          <w:sz w:val="32"/>
          <w:szCs w:val="32"/>
          <w:lang w:eastAsia="zh-CN"/>
        </w:rPr>
        <w:t>完成情况</w:t>
      </w:r>
      <w:r>
        <w:rPr>
          <w:rFonts w:hint="eastAsia" w:ascii="仿宋" w:hAnsi="仿宋" w:eastAsia="仿宋" w:cs="仿宋"/>
          <w:b/>
          <w:bCs/>
          <w:sz w:val="32"/>
          <w:szCs w:val="32"/>
        </w:rPr>
        <w:t>进行比较，将项目</w:t>
      </w:r>
      <w:r>
        <w:rPr>
          <w:rFonts w:hint="eastAsia" w:ascii="仿宋" w:hAnsi="仿宋" w:eastAsia="仿宋" w:cs="仿宋"/>
          <w:b/>
          <w:bCs/>
          <w:sz w:val="32"/>
          <w:szCs w:val="32"/>
          <w:lang w:eastAsia="zh-CN"/>
        </w:rPr>
        <w:t>资金使用情况与项目开展情况、服务对象满意度</w:t>
      </w:r>
      <w:r>
        <w:rPr>
          <w:rFonts w:hint="eastAsia" w:ascii="仿宋" w:hAnsi="仿宋" w:eastAsia="仿宋" w:cs="仿宋"/>
          <w:b/>
          <w:bCs/>
          <w:sz w:val="32"/>
          <w:szCs w:val="32"/>
        </w:rPr>
        <w:t>进行配比。评价工作遵循相关性、重要性、系统性原则，</w:t>
      </w:r>
      <w:r>
        <w:rPr>
          <w:rFonts w:hint="eastAsia" w:ascii="仿宋" w:hAnsi="仿宋" w:eastAsia="仿宋" w:cs="仿宋"/>
          <w:b/>
          <w:bCs/>
          <w:sz w:val="32"/>
          <w:szCs w:val="32"/>
          <w:lang w:eastAsia="zh-CN"/>
        </w:rPr>
        <w:t>力求全面评价反映该项目总体绩效情况</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三、综合评价结论</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根据</w:t>
      </w:r>
      <w:r>
        <w:rPr>
          <w:rFonts w:hint="eastAsia" w:ascii="仿宋" w:hAnsi="仿宋" w:eastAsia="仿宋" w:cs="仿宋"/>
          <w:b/>
          <w:bCs/>
          <w:sz w:val="32"/>
          <w:szCs w:val="32"/>
          <w:lang w:eastAsia="zh-CN"/>
        </w:rPr>
        <w:t>省委办公厅专项工作</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支出绩效</w:t>
      </w:r>
      <w:r>
        <w:rPr>
          <w:rFonts w:hint="eastAsia" w:ascii="仿宋" w:hAnsi="仿宋" w:eastAsia="仿宋" w:cs="仿宋"/>
          <w:b/>
          <w:bCs/>
          <w:sz w:val="32"/>
          <w:szCs w:val="32"/>
        </w:rPr>
        <w:t>评价</w:t>
      </w:r>
      <w:r>
        <w:rPr>
          <w:rFonts w:hint="eastAsia" w:ascii="仿宋" w:hAnsi="仿宋" w:eastAsia="仿宋" w:cs="仿宋"/>
          <w:b/>
          <w:bCs/>
          <w:sz w:val="32"/>
          <w:szCs w:val="32"/>
          <w:lang w:eastAsia="zh-CN"/>
        </w:rPr>
        <w:t>指标体系</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2020年</w:t>
      </w:r>
      <w:r>
        <w:rPr>
          <w:rFonts w:hint="eastAsia" w:ascii="仿宋" w:hAnsi="仿宋" w:eastAsia="仿宋" w:cs="仿宋"/>
          <w:b/>
          <w:bCs/>
          <w:sz w:val="32"/>
          <w:szCs w:val="32"/>
          <w:lang w:eastAsia="zh-CN"/>
        </w:rPr>
        <w:t>省委办公厅专项工作</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支出绩效自评得分为</w:t>
      </w:r>
      <w:r>
        <w:rPr>
          <w:rFonts w:hint="eastAsia" w:ascii="仿宋" w:hAnsi="仿宋" w:eastAsia="仿宋" w:cs="仿宋"/>
          <w:b/>
          <w:bCs/>
          <w:sz w:val="32"/>
          <w:szCs w:val="32"/>
          <w:lang w:val="en-US" w:eastAsia="zh-CN"/>
        </w:rPr>
        <w:t>97.55分</w:t>
      </w:r>
      <w:r>
        <w:rPr>
          <w:rFonts w:hint="eastAsia" w:ascii="仿宋" w:hAnsi="仿宋" w:eastAsia="仿宋" w:cs="仿宋"/>
          <w:b/>
          <w:bCs/>
          <w:sz w:val="32"/>
          <w:szCs w:val="32"/>
        </w:rPr>
        <w:t>，</w:t>
      </w:r>
      <w:r>
        <w:rPr>
          <w:rFonts w:hint="eastAsia" w:ascii="仿宋" w:hAnsi="仿宋" w:eastAsia="仿宋" w:cs="仿宋"/>
          <w:b/>
          <w:bCs/>
          <w:sz w:val="32"/>
          <w:szCs w:val="32"/>
          <w:lang w:eastAsia="zh-CN"/>
        </w:rPr>
        <w:t>综合评价为优秀，</w:t>
      </w:r>
      <w:r>
        <w:rPr>
          <w:rFonts w:hint="eastAsia" w:ascii="仿宋" w:hAnsi="仿宋" w:eastAsia="仿宋" w:cs="仿宋"/>
          <w:b/>
          <w:bCs/>
          <w:sz w:val="32"/>
          <w:szCs w:val="32"/>
          <w:lang w:val="en-US" w:eastAsia="zh-CN"/>
        </w:rPr>
        <w:t>详见下表</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四、绩效评价分析</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（一）项目决策情况</w:t>
      </w:r>
    </w:p>
    <w:p>
      <w:pPr>
        <w:snapToGrid w:val="0"/>
        <w:spacing w:line="560" w:lineRule="exact"/>
        <w:ind w:firstLine="643" w:firstLineChars="200"/>
        <w:rPr>
          <w:rFonts w:ascii="楷体_GB2312" w:hAnsi="宋体" w:eastAsia="楷体_GB2312"/>
          <w:b/>
          <w:sz w:val="32"/>
          <w:szCs w:val="32"/>
        </w:rPr>
      </w:pPr>
      <w:r>
        <w:rPr>
          <w:rFonts w:hint="eastAsia" w:ascii="仿宋" w:hAnsi="仿宋" w:eastAsia="仿宋" w:cs="仿宋"/>
          <w:b/>
          <w:bCs/>
          <w:sz w:val="32"/>
          <w:szCs w:val="32"/>
          <w:lang w:eastAsia="zh-CN"/>
        </w:rPr>
        <w:t>按照省委办公厅年度重点工作安排，项目实施单位在充分调查研究、听取各需求单位意见建议的基础上，细化工作举措和年度计划安排，测算资金需求。财务处将该项目纳入年度部门预算草案编制，经厅务会审议后报财政厅纳入省级部门预算编制报批。</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（二）项目管理情况</w:t>
      </w:r>
    </w:p>
    <w:p>
      <w:pPr>
        <w:snapToGrid w:val="0"/>
        <w:spacing w:line="560" w:lineRule="exact"/>
        <w:ind w:firstLine="643" w:firstLineChars="200"/>
        <w:rPr>
          <w:rFonts w:hint="eastAsia" w:ascii="楷体_GB2312" w:hAnsi="宋体" w:eastAsia="仿宋"/>
          <w:b/>
          <w:sz w:val="32"/>
          <w:szCs w:val="32"/>
          <w:lang w:eastAsia="zh-CN"/>
        </w:rPr>
      </w:pPr>
      <w:r>
        <w:rPr>
          <w:rFonts w:hint="eastAsia" w:ascii="仿宋" w:hAnsi="仿宋" w:eastAsia="仿宋" w:cs="仿宋"/>
          <w:b/>
          <w:bCs/>
          <w:sz w:val="32"/>
          <w:szCs w:val="32"/>
          <w:lang w:eastAsia="zh-CN"/>
        </w:rPr>
        <w:t>该项目相关管理制度机制较为完善，项目实施单位严格按照预算财务管理制度规定推进项目执行，在项目执行过程中，未出现管理制度有悖于实际的情况，也未出现难以操作、无法落地、执行不畅的情况</w:t>
      </w:r>
      <w:r>
        <w:rPr>
          <w:rFonts w:hint="eastAsia" w:ascii="仿宋" w:hAnsi="仿宋" w:eastAsia="仿宋" w:cs="仿宋"/>
          <w:b/>
          <w:bCs/>
          <w:sz w:val="32"/>
          <w:szCs w:val="32"/>
        </w:rPr>
        <w:t>。</w:t>
      </w:r>
      <w:r>
        <w:rPr>
          <w:rFonts w:hint="eastAsia" w:ascii="仿宋" w:hAnsi="仿宋" w:eastAsia="仿宋" w:cs="仿宋"/>
          <w:b/>
          <w:bCs/>
          <w:sz w:val="32"/>
          <w:szCs w:val="32"/>
          <w:lang w:eastAsia="zh-CN"/>
        </w:rPr>
        <w:t>项目资金使用符合相关财务管理制度规定。</w:t>
      </w:r>
    </w:p>
    <w:p>
      <w:pPr>
        <w:snapToGrid w:val="0"/>
        <w:spacing w:line="560" w:lineRule="exact"/>
        <w:ind w:firstLine="643" w:firstLineChars="200"/>
        <w:rPr>
          <w:rFonts w:hint="eastAsia" w:ascii="楷体" w:hAnsi="楷体" w:eastAsia="楷体" w:cs="楷体"/>
          <w:b/>
          <w:sz w:val="32"/>
          <w:szCs w:val="32"/>
        </w:rPr>
      </w:pPr>
      <w:r>
        <w:rPr>
          <w:rFonts w:hint="eastAsia" w:ascii="楷体" w:hAnsi="楷体" w:eastAsia="楷体" w:cs="楷体"/>
          <w:b/>
          <w:sz w:val="32"/>
          <w:szCs w:val="32"/>
        </w:rPr>
        <w:t>（三）项目产出情况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项目实施单位</w:t>
      </w:r>
      <w:r>
        <w:rPr>
          <w:rFonts w:hint="eastAsia" w:ascii="仿宋" w:hAnsi="仿宋" w:eastAsia="仿宋" w:cs="仿宋"/>
          <w:b/>
          <w:bCs/>
          <w:sz w:val="32"/>
          <w:szCs w:val="32"/>
          <w:lang w:val="en-US" w:eastAsia="zh-CN"/>
        </w:rPr>
        <w:t>圆满完成全年目标任务，为全厅114名劳务派遣人员提供保障服务，顺利保障省委领导会见会谈11次，机关后勤服务水平有所提高，后勤保障工作得到了全厅干部职工的认可，满意度为97%</w:t>
      </w:r>
      <w:r>
        <w:rPr>
          <w:rFonts w:hint="eastAsia" w:ascii="仿宋" w:hAnsi="仿宋" w:eastAsia="仿宋" w:cs="仿宋"/>
          <w:b/>
          <w:bCs/>
          <w:sz w:val="32"/>
          <w:szCs w:val="32"/>
        </w:rPr>
        <w:t>。</w:t>
      </w:r>
    </w:p>
    <w:p>
      <w:pPr>
        <w:snapToGrid w:val="0"/>
        <w:spacing w:line="560" w:lineRule="exact"/>
        <w:ind w:firstLine="643" w:firstLineChars="200"/>
        <w:rPr>
          <w:rFonts w:ascii="楷体_GB2312" w:hAnsi="宋体" w:eastAsia="楷体_GB2312"/>
          <w:b/>
          <w:sz w:val="32"/>
          <w:szCs w:val="32"/>
        </w:rPr>
      </w:pPr>
      <w:r>
        <w:rPr>
          <w:rFonts w:hint="eastAsia" w:ascii="楷体" w:hAnsi="楷体" w:eastAsia="楷体" w:cs="楷体"/>
          <w:b/>
          <w:sz w:val="32"/>
          <w:szCs w:val="32"/>
        </w:rPr>
        <w:t>（四）项目效益情况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在常态化疫情防控的背景下，项目实施单位圆满完成了后勤服务保障工作和省委领导会见会谈工作，为省委办公厅劳务派遣人员提供了劳务支持</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五、存在主要问题</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年初经费测算不够准确，预算执行中进行了较大的预算调整</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六、相关措施</w:t>
      </w:r>
    </w:p>
    <w:p>
      <w:pPr>
        <w:snapToGrid w:val="0"/>
        <w:spacing w:line="560" w:lineRule="exact"/>
        <w:ind w:firstLine="643" w:firstLineChars="200"/>
        <w:rPr>
          <w:rFonts w:hint="eastAsia" w:ascii="仿宋" w:hAnsi="仿宋" w:eastAsia="仿宋" w:cs="仿宋"/>
          <w:b/>
          <w:sz w:val="32"/>
          <w:szCs w:val="32"/>
        </w:rPr>
      </w:pPr>
      <w:r>
        <w:rPr>
          <w:rFonts w:hint="eastAsia" w:ascii="仿宋" w:hAnsi="仿宋" w:eastAsia="仿宋" w:cs="仿宋"/>
          <w:b/>
          <w:sz w:val="32"/>
          <w:szCs w:val="32"/>
          <w:lang w:eastAsia="zh-CN"/>
        </w:rPr>
        <w:t>不断增强</w:t>
      </w:r>
      <w:r>
        <w:rPr>
          <w:rFonts w:hint="eastAsia" w:ascii="仿宋" w:hAnsi="仿宋" w:eastAsia="仿宋" w:cs="仿宋"/>
          <w:b/>
          <w:sz w:val="32"/>
          <w:szCs w:val="32"/>
        </w:rPr>
        <w:t>预算编制的科学性、合理性、完整性，进一步精细化预算编制工作，提高预测分析能力</w:t>
      </w:r>
      <w:r>
        <w:rPr>
          <w:rFonts w:hint="eastAsia" w:ascii="仿宋" w:hAnsi="仿宋" w:eastAsia="仿宋" w:cs="仿宋"/>
          <w:b/>
          <w:sz w:val="32"/>
          <w:szCs w:val="32"/>
          <w:lang w:eastAsia="zh-CN"/>
        </w:rPr>
        <w:t>和</w:t>
      </w:r>
      <w:r>
        <w:rPr>
          <w:rFonts w:hint="eastAsia" w:ascii="仿宋" w:hAnsi="仿宋" w:eastAsia="仿宋" w:cs="仿宋"/>
          <w:b/>
          <w:sz w:val="32"/>
          <w:szCs w:val="32"/>
        </w:rPr>
        <w:t>资金使用效率，减少预算调整</w:t>
      </w:r>
      <w:r>
        <w:rPr>
          <w:rFonts w:hint="eastAsia" w:ascii="仿宋" w:hAnsi="仿宋" w:eastAsia="仿宋" w:cs="仿宋"/>
          <w:b/>
          <w:sz w:val="32"/>
          <w:szCs w:val="32"/>
          <w:lang w:eastAsia="zh-CN"/>
        </w:rPr>
        <w:t>幅度</w:t>
      </w:r>
      <w:r>
        <w:rPr>
          <w:rFonts w:hint="eastAsia" w:ascii="仿宋" w:hAnsi="仿宋" w:eastAsia="仿宋" w:cs="仿宋"/>
          <w:b/>
          <w:sz w:val="32"/>
          <w:szCs w:val="32"/>
        </w:rPr>
        <w:t>。</w:t>
      </w: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sectPr>
          <w:footerReference r:id="rId7" w:type="default"/>
          <w:pgSz w:w="11906" w:h="16838"/>
          <w:pgMar w:top="1440" w:right="1800" w:bottom="1440" w:left="1800" w:header="851" w:footer="992" w:gutter="0"/>
          <w:pgNumType w:start="1"/>
          <w:cols w:space="425" w:num="1"/>
          <w:docGrid w:type="lines" w:linePitch="312" w:charSpace="0"/>
        </w:sectPr>
      </w:pPr>
    </w:p>
    <w:tbl>
      <w:tblPr>
        <w:tblStyle w:val="13"/>
        <w:tblW w:w="15762" w:type="dxa"/>
        <w:tblInd w:w="-660" w:type="dxa"/>
        <w:shd w:val="clear" w:color="auto" w:fill="auto"/>
        <w:tblLayout w:type="fixed"/>
        <w:tblCellMar>
          <w:top w:w="0" w:type="dxa"/>
          <w:left w:w="108" w:type="dxa"/>
          <w:bottom w:w="0" w:type="dxa"/>
          <w:right w:w="108" w:type="dxa"/>
        </w:tblCellMar>
      </w:tblPr>
      <w:tblGrid>
        <w:gridCol w:w="485"/>
        <w:gridCol w:w="635"/>
        <w:gridCol w:w="450"/>
        <w:gridCol w:w="496"/>
        <w:gridCol w:w="450"/>
        <w:gridCol w:w="2088"/>
        <w:gridCol w:w="808"/>
        <w:gridCol w:w="981"/>
        <w:gridCol w:w="957"/>
        <w:gridCol w:w="993"/>
        <w:gridCol w:w="1027"/>
        <w:gridCol w:w="1107"/>
        <w:gridCol w:w="2458"/>
        <w:gridCol w:w="796"/>
        <w:gridCol w:w="485"/>
        <w:gridCol w:w="819"/>
        <w:gridCol w:w="727"/>
      </w:tblGrid>
      <w:tr>
        <w:tblPrEx>
          <w:shd w:val="clear" w:color="auto" w:fill="auto"/>
          <w:tblCellMar>
            <w:top w:w="0" w:type="dxa"/>
            <w:left w:w="108" w:type="dxa"/>
            <w:bottom w:w="0" w:type="dxa"/>
            <w:right w:w="108" w:type="dxa"/>
          </w:tblCellMar>
        </w:tblPrEx>
        <w:trPr>
          <w:trHeight w:val="690" w:hRule="atLeast"/>
        </w:trPr>
        <w:tc>
          <w:tcPr>
            <w:tcW w:w="15762" w:type="dxa"/>
            <w:gridSpan w:val="1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b/>
                <w:bCs/>
                <w:i w:val="0"/>
                <w:iCs w:val="0"/>
                <w:color w:val="000000"/>
                <w:sz w:val="40"/>
                <w:szCs w:val="40"/>
                <w:u w:val="none"/>
              </w:rPr>
            </w:pPr>
            <w:r>
              <w:rPr>
                <w:rFonts w:hint="eastAsia" w:ascii="方正小标宋简体" w:hAnsi="方正小标宋简体" w:eastAsia="方正小标宋简体" w:cs="方正小标宋简体"/>
                <w:b/>
                <w:bCs/>
                <w:i w:val="0"/>
                <w:iCs w:val="0"/>
                <w:color w:val="000000"/>
                <w:kern w:val="0"/>
                <w:sz w:val="40"/>
                <w:szCs w:val="40"/>
                <w:u w:val="none"/>
                <w:lang w:val="en-US" w:eastAsia="zh-CN" w:bidi="ar"/>
              </w:rPr>
              <w:t>省委办公厅专项工作经费支出绩效评分表</w:t>
            </w:r>
          </w:p>
        </w:tc>
      </w:tr>
      <w:tr>
        <w:tblPrEx>
          <w:shd w:val="clear" w:color="auto" w:fill="auto"/>
          <w:tblCellMar>
            <w:top w:w="0" w:type="dxa"/>
            <w:left w:w="108" w:type="dxa"/>
            <w:bottom w:w="0" w:type="dxa"/>
            <w:right w:w="108" w:type="dxa"/>
          </w:tblCellMar>
        </w:tblPrEx>
        <w:trPr>
          <w:trHeight w:val="225" w:hRule="atLeast"/>
        </w:trPr>
        <w:tc>
          <w:tcPr>
            <w:tcW w:w="485"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63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分值</w:t>
            </w:r>
          </w:p>
        </w:tc>
        <w:tc>
          <w:tcPr>
            <w:tcW w:w="1396" w:type="dxa"/>
            <w:gridSpan w:val="3"/>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分层分类指标</w:t>
            </w:r>
          </w:p>
        </w:tc>
        <w:tc>
          <w:tcPr>
            <w:tcW w:w="208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指标解释</w:t>
            </w:r>
          </w:p>
        </w:tc>
        <w:tc>
          <w:tcPr>
            <w:tcW w:w="5873" w:type="dxa"/>
            <w:gridSpan w:val="6"/>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评分方法</w:t>
            </w:r>
          </w:p>
        </w:tc>
        <w:tc>
          <w:tcPr>
            <w:tcW w:w="245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评价要点及说明</w:t>
            </w:r>
          </w:p>
        </w:tc>
        <w:tc>
          <w:tcPr>
            <w:tcW w:w="1281" w:type="dxa"/>
            <w:gridSpan w:val="2"/>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评价方式</w:t>
            </w:r>
          </w:p>
        </w:tc>
        <w:tc>
          <w:tcPr>
            <w:tcW w:w="819"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w:t>
            </w:r>
          </w:p>
        </w:tc>
        <w:tc>
          <w:tcPr>
            <w:tcW w:w="727"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tblPrEx>
          <w:shd w:val="clear" w:color="auto" w:fill="auto"/>
          <w:tblCellMar>
            <w:top w:w="0" w:type="dxa"/>
            <w:left w:w="108" w:type="dxa"/>
            <w:bottom w:w="0" w:type="dxa"/>
            <w:right w:w="108" w:type="dxa"/>
          </w:tblCellMar>
        </w:tblPrEx>
        <w:trPr>
          <w:trHeight w:val="312" w:hRule="atLeast"/>
        </w:trPr>
        <w:tc>
          <w:tcPr>
            <w:tcW w:w="48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6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396" w:type="dxa"/>
            <w:gridSpan w:val="3"/>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c>
          <w:tcPr>
            <w:tcW w:w="208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873" w:type="dxa"/>
            <w:gridSpan w:val="6"/>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245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281"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1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27"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20" w:hRule="atLeast"/>
        </w:trPr>
        <w:tc>
          <w:tcPr>
            <w:tcW w:w="48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6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分层指标</w:t>
            </w:r>
          </w:p>
        </w:tc>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一级指标</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二级指标</w:t>
            </w:r>
          </w:p>
        </w:tc>
        <w:tc>
          <w:tcPr>
            <w:tcW w:w="208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方法归类</w:t>
            </w:r>
          </w:p>
        </w:tc>
        <w:tc>
          <w:tcPr>
            <w:tcW w:w="50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计算公式</w:t>
            </w:r>
          </w:p>
        </w:tc>
        <w:tc>
          <w:tcPr>
            <w:tcW w:w="245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业务处室自评</w:t>
            </w:r>
          </w:p>
        </w:tc>
        <w:tc>
          <w:tcPr>
            <w:tcW w:w="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统筹考评</w:t>
            </w:r>
          </w:p>
        </w:tc>
        <w:tc>
          <w:tcPr>
            <w:tcW w:w="81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27"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90" w:hRule="atLeast"/>
        </w:trPr>
        <w:tc>
          <w:tcPr>
            <w:tcW w:w="48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6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208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0.00%</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30.00%</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60.00%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80.00%</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100.00%</w:t>
            </w:r>
          </w:p>
        </w:tc>
        <w:tc>
          <w:tcPr>
            <w:tcW w:w="245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19"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27"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365"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通用指标</w:t>
            </w:r>
          </w:p>
        </w:tc>
        <w:tc>
          <w:tcPr>
            <w:tcW w:w="4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项目决策</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制度完备</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项目指导意见、管理办法、实施细则等管理制度是否完善，是否存在脱离实际、缺陷、漏洞导致执行偏离预期</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50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发现一处扣3分，直至扣完</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主要查看项目的相关管理制度机制是否健全完善，在项目执行过程中，是否存在管理制度有悖于实际的情况，是否存在难以操作、无法落地、执行不畅的情况，是否存在不能满足实际需求，未及时动态调整的情况</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727"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1006"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使用合规</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项目资金使用是否符合相关的财务管理制度规定</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50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发现一处扣2分，直至扣完</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项目资金是否符合国家财经法规和财务管理制度及有关专项资金管理办法规定；资金支付是否有完整的审批程序和手续；是否符合项目预算批复或合同规定用途；是否存在截留、挤占、挪用、虚列支出等情况</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72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预算调整规模较大</w:t>
            </w:r>
          </w:p>
        </w:tc>
      </w:tr>
      <w:tr>
        <w:tblPrEx>
          <w:shd w:val="clear" w:color="auto" w:fill="auto"/>
          <w:tblCellMar>
            <w:top w:w="0" w:type="dxa"/>
            <w:left w:w="108" w:type="dxa"/>
            <w:bottom w:w="0" w:type="dxa"/>
            <w:right w:w="108" w:type="dxa"/>
          </w:tblCellMar>
        </w:tblPrEx>
        <w:trPr>
          <w:trHeight w:val="135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资金使用率</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项目资金支付使用情况</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50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指标得分=资金实际使用金额/项目预算资金金额×100%*指标分值</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主要查看财政资金实际支付使用，是否存在因制度机制、操作流程、管理疏漏、数据缺失等导致的资金结余，闲置浪费的情况</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72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预算执行率100%</w:t>
            </w:r>
          </w:p>
        </w:tc>
      </w:tr>
      <w:tr>
        <w:tblPrEx>
          <w:shd w:val="clear" w:color="auto" w:fill="auto"/>
          <w:tblCellMar>
            <w:top w:w="0" w:type="dxa"/>
            <w:left w:w="108" w:type="dxa"/>
            <w:bottom w:w="0" w:type="dxa"/>
            <w:right w:w="108" w:type="dxa"/>
          </w:tblCellMar>
        </w:tblPrEx>
        <w:trPr>
          <w:trHeight w:val="88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完成结果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目标完成</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项目实施后是否完成预期目标</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50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指标得分=实际完成任务量/绩效目标设定任务量×100%*指标分值  </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主要查看项目实施后产出数量指标完成情况。</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72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全部完成</w:t>
            </w:r>
          </w:p>
        </w:tc>
      </w:tr>
      <w:tr>
        <w:tblPrEx>
          <w:shd w:val="clear" w:color="auto" w:fill="auto"/>
          <w:tblCellMar>
            <w:top w:w="0" w:type="dxa"/>
            <w:left w:w="108" w:type="dxa"/>
            <w:bottom w:w="0" w:type="dxa"/>
            <w:right w:w="108" w:type="dxa"/>
          </w:tblCellMar>
        </w:tblPrEx>
        <w:trPr>
          <w:trHeight w:val="82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违规记录</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项目管理是否合规</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不合规</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3处及以上不合规</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2处不合规</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1处不合规</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合规</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根据审计监督、财政检查结果反映项目管理是否合规</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27"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146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项目效果</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相关群体满意度调查情况</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506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根据实际满意度与满意度标准值的比率计算指标得分</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主要考察项目相关方在政策实施过程中的满意值，通过不满意情况汇总分析政策在顶层设计、制度构建、管理实施及成效各环节的情况</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14.55</w:t>
            </w:r>
          </w:p>
        </w:tc>
        <w:tc>
          <w:tcPr>
            <w:tcW w:w="727"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满意度97%</w:t>
            </w:r>
          </w:p>
        </w:tc>
      </w:tr>
      <w:tr>
        <w:tblPrEx>
          <w:tblCellMar>
            <w:top w:w="0" w:type="dxa"/>
            <w:left w:w="108" w:type="dxa"/>
            <w:bottom w:w="0" w:type="dxa"/>
            <w:right w:w="108" w:type="dxa"/>
          </w:tblCellMar>
        </w:tblPrEx>
        <w:trPr>
          <w:trHeight w:val="84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服务质量提升</w:t>
            </w:r>
          </w:p>
        </w:tc>
        <w:tc>
          <w:tcPr>
            <w:tcW w:w="20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反映服务质量情况</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差</w:t>
            </w:r>
          </w:p>
        </w:tc>
        <w:tc>
          <w:tcPr>
            <w:tcW w:w="9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较差</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一般</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较好</w:t>
            </w:r>
          </w:p>
        </w:tc>
        <w:tc>
          <w:tcPr>
            <w:tcW w:w="11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好</w:t>
            </w:r>
          </w:p>
        </w:tc>
        <w:tc>
          <w:tcPr>
            <w:tcW w:w="2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提供优质的后勤保障服务</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27"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CellMar>
            <w:top w:w="0" w:type="dxa"/>
            <w:left w:w="108" w:type="dxa"/>
            <w:bottom w:w="0" w:type="dxa"/>
            <w:right w:w="108" w:type="dxa"/>
          </w:tblCellMar>
        </w:tblPrEx>
        <w:trPr>
          <w:trHeight w:val="660" w:hRule="atLeast"/>
        </w:trPr>
        <w:tc>
          <w:tcPr>
            <w:tcW w:w="485"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635"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45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9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08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0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8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5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93"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02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10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45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9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85"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19"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97.55</w:t>
            </w:r>
          </w:p>
        </w:tc>
        <w:tc>
          <w:tcPr>
            <w:tcW w:w="727"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bl>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pPr>
    </w:p>
    <w:p>
      <w:pPr>
        <w:snapToGrid w:val="0"/>
        <w:spacing w:line="560" w:lineRule="exact"/>
        <w:rPr>
          <w:rFonts w:hint="eastAsia" w:ascii="仿宋" w:hAnsi="仿宋" w:eastAsia="仿宋" w:cs="仿宋"/>
          <w:b/>
          <w:sz w:val="32"/>
          <w:szCs w:val="32"/>
          <w:lang w:eastAsia="zh-CN"/>
        </w:rPr>
        <w:sectPr>
          <w:pgSz w:w="16838" w:h="11906" w:orient="landscape"/>
          <w:pgMar w:top="1800" w:right="1440" w:bottom="1800" w:left="1440" w:header="851" w:footer="992" w:gutter="0"/>
          <w:cols w:space="425" w:num="1"/>
          <w:docGrid w:type="lines" w:linePitch="312" w:charSpace="0"/>
        </w:sectPr>
      </w:pPr>
    </w:p>
    <w:p>
      <w:pPr>
        <w:snapToGrid w:val="0"/>
        <w:spacing w:beforeAutospacing="0" w:line="600" w:lineRule="exact"/>
        <w:jc w:val="center"/>
        <w:rPr>
          <w:rFonts w:ascii="方正小标宋简体" w:hAnsi="宋体" w:eastAsia="方正小标宋简体"/>
          <w:b/>
          <w:sz w:val="44"/>
          <w:szCs w:val="44"/>
        </w:rPr>
      </w:pPr>
      <w:r>
        <w:rPr>
          <w:rFonts w:hint="eastAsia" w:ascii="方正小标宋简体" w:hAnsi="宋体" w:eastAsia="方正小标宋简体"/>
          <w:b/>
          <w:sz w:val="44"/>
          <w:szCs w:val="44"/>
          <w:lang w:eastAsia="zh-CN"/>
        </w:rPr>
        <w:t>单位</w:t>
      </w:r>
      <w:r>
        <w:rPr>
          <w:rFonts w:hint="eastAsia" w:ascii="方正小标宋简体" w:hAnsi="宋体" w:eastAsia="方正小标宋简体"/>
          <w:b/>
          <w:sz w:val="44"/>
          <w:szCs w:val="44"/>
        </w:rPr>
        <w:t>预算项目支出绩效自评报告</w:t>
      </w:r>
    </w:p>
    <w:p>
      <w:pPr>
        <w:tabs>
          <w:tab w:val="left" w:pos="3885"/>
        </w:tabs>
        <w:snapToGrid w:val="0"/>
        <w:spacing w:line="600" w:lineRule="exact"/>
        <w:jc w:val="center"/>
        <w:rPr>
          <w:rFonts w:ascii="宋体" w:hAnsi="宋体"/>
          <w:b/>
          <w:sz w:val="32"/>
          <w:szCs w:val="32"/>
        </w:rPr>
      </w:pPr>
      <w:r>
        <w:rPr>
          <w:rFonts w:hint="eastAsia" w:ascii="楷体" w:hAnsi="楷体" w:eastAsia="楷体" w:cs="楷体"/>
          <w:b/>
          <w:sz w:val="32"/>
          <w:szCs w:val="32"/>
        </w:rPr>
        <w:t>（</w:t>
      </w:r>
      <w:r>
        <w:rPr>
          <w:rFonts w:hint="eastAsia" w:ascii="楷体" w:hAnsi="楷体" w:eastAsia="楷体" w:cs="楷体"/>
          <w:b/>
          <w:sz w:val="32"/>
          <w:szCs w:val="32"/>
          <w:lang w:eastAsia="zh-CN"/>
        </w:rPr>
        <w:t>省委办公厅大宗文印</w:t>
      </w:r>
      <w:r>
        <w:rPr>
          <w:rFonts w:hint="eastAsia" w:ascii="楷体" w:hAnsi="楷体" w:eastAsia="楷体" w:cs="楷体"/>
          <w:b/>
          <w:sz w:val="32"/>
          <w:szCs w:val="32"/>
        </w:rPr>
        <w:t>经费）</w:t>
      </w:r>
    </w:p>
    <w:p>
      <w:pPr>
        <w:numPr>
          <w:ilvl w:val="0"/>
          <w:numId w:val="0"/>
        </w:numPr>
        <w:tabs>
          <w:tab w:val="left" w:pos="3885"/>
        </w:tabs>
        <w:snapToGrid w:val="0"/>
        <w:spacing w:line="56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eastAsia="zh-CN"/>
        </w:rPr>
        <w:t>一、</w:t>
      </w:r>
      <w:r>
        <w:rPr>
          <w:rFonts w:hint="eastAsia" w:ascii="黑体" w:hAnsi="黑体" w:eastAsia="黑体" w:cs="黑体"/>
          <w:b/>
          <w:bCs/>
          <w:sz w:val="32"/>
          <w:szCs w:val="32"/>
        </w:rPr>
        <w:t>基本情况</w:t>
      </w:r>
    </w:p>
    <w:p>
      <w:pPr>
        <w:pStyle w:val="24"/>
        <w:numPr>
          <w:ilvl w:val="0"/>
          <w:numId w:val="0"/>
        </w:numPr>
        <w:tabs>
          <w:tab w:val="left" w:pos="3885"/>
        </w:tabs>
        <w:snapToGrid w:val="0"/>
        <w:spacing w:line="560" w:lineRule="exact"/>
        <w:ind w:left="640" w:leftChars="0"/>
        <w:jc w:val="left"/>
        <w:rPr>
          <w:rFonts w:hint="eastAsia" w:ascii="楷体" w:hAnsi="楷体" w:eastAsia="楷体" w:cs="楷体"/>
          <w:b/>
          <w:sz w:val="32"/>
          <w:szCs w:val="32"/>
        </w:rPr>
      </w:pPr>
      <w:r>
        <w:rPr>
          <w:rFonts w:hint="eastAsia" w:ascii="楷体" w:hAnsi="楷体" w:eastAsia="楷体" w:cs="楷体"/>
          <w:b/>
          <w:sz w:val="32"/>
          <w:szCs w:val="32"/>
          <w:lang w:eastAsia="zh-CN"/>
        </w:rPr>
        <w:t>（一）</w:t>
      </w:r>
      <w:r>
        <w:rPr>
          <w:rFonts w:hint="eastAsia" w:ascii="楷体" w:hAnsi="楷体" w:eastAsia="楷体" w:cs="楷体"/>
          <w:b/>
          <w:sz w:val="32"/>
          <w:szCs w:val="32"/>
        </w:rPr>
        <w:t>项目概况</w:t>
      </w:r>
    </w:p>
    <w:p>
      <w:pPr>
        <w:tabs>
          <w:tab w:val="left" w:pos="3885"/>
        </w:tabs>
        <w:snapToGrid w:val="0"/>
        <w:spacing w:line="560" w:lineRule="exact"/>
        <w:ind w:firstLine="643" w:firstLineChars="200"/>
        <w:jc w:val="both"/>
        <w:rPr>
          <w:rFonts w:hint="eastAsia" w:ascii="仿宋" w:hAnsi="仿宋" w:eastAsia="仿宋" w:cs="仿宋"/>
          <w:b/>
          <w:bCs/>
          <w:sz w:val="32"/>
          <w:szCs w:val="32"/>
        </w:rPr>
      </w:pPr>
      <w:r>
        <w:rPr>
          <w:rFonts w:hint="eastAsia" w:ascii="仿宋" w:hAnsi="仿宋" w:eastAsia="仿宋" w:cs="仿宋"/>
          <w:b/>
          <w:bCs/>
          <w:sz w:val="32"/>
          <w:szCs w:val="32"/>
          <w:lang w:eastAsia="zh-CN"/>
        </w:rPr>
        <w:t>该项目主要用于保障中央文件翻印和省委文件印制，确保政令畅通</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rPr>
      </w:pPr>
      <w:r>
        <w:rPr>
          <w:rFonts w:hint="eastAsia" w:ascii="楷体" w:hAnsi="楷体" w:eastAsia="楷体" w:cs="楷体"/>
          <w:b/>
          <w:sz w:val="32"/>
          <w:szCs w:val="32"/>
        </w:rPr>
        <w:t>（二）项目实施情况</w:t>
      </w:r>
    </w:p>
    <w:p>
      <w:pPr>
        <w:spacing w:line="560" w:lineRule="exact"/>
        <w:ind w:firstLine="660"/>
        <w:rPr>
          <w:rFonts w:hint="eastAsia" w:ascii="仿宋" w:hAnsi="仿宋" w:eastAsia="仿宋" w:cs="仿宋"/>
          <w:b/>
          <w:bCs/>
          <w:sz w:val="32"/>
          <w:szCs w:val="32"/>
        </w:rPr>
      </w:pPr>
      <w:r>
        <w:rPr>
          <w:rFonts w:hint="eastAsia" w:ascii="仿宋" w:hAnsi="仿宋" w:eastAsia="仿宋" w:cs="仿宋"/>
          <w:b/>
          <w:bCs/>
          <w:sz w:val="32"/>
          <w:szCs w:val="32"/>
          <w:lang w:val="en-US" w:eastAsia="zh-CN"/>
        </w:rPr>
        <w:t>2020年项目实施单位在新冠疫情特殊条件下，圆满完成全年文件印制工作，文印质量有所提高，在全厅各局室处满意度测评中综合评价为100%</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lang w:eastAsia="zh-CN"/>
        </w:rPr>
      </w:pPr>
      <w:r>
        <w:rPr>
          <w:rFonts w:hint="eastAsia" w:ascii="楷体" w:hAnsi="楷体" w:eastAsia="楷体" w:cs="楷体"/>
          <w:b/>
          <w:sz w:val="32"/>
          <w:szCs w:val="32"/>
          <w:lang w:eastAsia="zh-CN"/>
        </w:rPr>
        <w:t>（三）资金使用及绩效情况</w:t>
      </w:r>
    </w:p>
    <w:p>
      <w:pPr>
        <w:overflowPunct w:val="0"/>
        <w:spacing w:line="560" w:lineRule="exact"/>
        <w:ind w:firstLine="643" w:firstLineChars="200"/>
        <w:rPr>
          <w:rFonts w:hint="eastAsia" w:ascii="仿宋" w:hAnsi="仿宋" w:eastAsia="仿宋" w:cs="仿宋"/>
          <w:b/>
          <w:bCs/>
          <w:spacing w:val="-2"/>
          <w:sz w:val="32"/>
          <w:szCs w:val="32"/>
        </w:rPr>
      </w:pPr>
      <w:r>
        <w:rPr>
          <w:rFonts w:hint="eastAsia" w:ascii="仿宋" w:hAnsi="仿宋" w:eastAsia="仿宋" w:cs="仿宋"/>
          <w:b/>
          <w:bCs/>
          <w:sz w:val="32"/>
          <w:szCs w:val="32"/>
        </w:rPr>
        <w:t>2020年该项</w:t>
      </w:r>
      <w:r>
        <w:rPr>
          <w:rFonts w:hint="eastAsia" w:ascii="仿宋" w:hAnsi="仿宋" w:eastAsia="仿宋" w:cs="仿宋"/>
          <w:b/>
          <w:bCs/>
          <w:sz w:val="32"/>
          <w:szCs w:val="32"/>
          <w:lang w:eastAsia="zh-CN"/>
        </w:rPr>
        <w:t>目</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预算为</w:t>
      </w:r>
      <w:r>
        <w:rPr>
          <w:rFonts w:hint="eastAsia" w:ascii="仿宋" w:hAnsi="仿宋" w:eastAsia="仿宋" w:cs="仿宋"/>
          <w:b/>
          <w:bCs/>
          <w:sz w:val="32"/>
          <w:szCs w:val="32"/>
          <w:lang w:val="en-US" w:eastAsia="zh-CN"/>
        </w:rPr>
        <w:t>377.60万元，实际</w:t>
      </w:r>
      <w:r>
        <w:rPr>
          <w:rFonts w:hint="eastAsia" w:ascii="仿宋" w:hAnsi="仿宋" w:eastAsia="仿宋" w:cs="仿宋"/>
          <w:b/>
          <w:bCs/>
          <w:sz w:val="32"/>
          <w:szCs w:val="32"/>
        </w:rPr>
        <w:t>支出</w:t>
      </w:r>
      <w:r>
        <w:rPr>
          <w:rFonts w:hint="eastAsia" w:ascii="仿宋" w:hAnsi="仿宋" w:eastAsia="仿宋" w:cs="仿宋"/>
          <w:b/>
          <w:bCs/>
          <w:sz w:val="32"/>
          <w:szCs w:val="32"/>
          <w:lang w:val="en-US" w:eastAsia="zh-CN"/>
        </w:rPr>
        <w:t>320.51</w:t>
      </w:r>
      <w:r>
        <w:rPr>
          <w:rFonts w:hint="eastAsia" w:ascii="仿宋" w:hAnsi="仿宋" w:eastAsia="仿宋" w:cs="仿宋"/>
          <w:b/>
          <w:bCs/>
          <w:sz w:val="32"/>
          <w:szCs w:val="32"/>
        </w:rPr>
        <w:t>万元，预算执行率</w:t>
      </w:r>
      <w:r>
        <w:rPr>
          <w:rFonts w:hint="eastAsia" w:ascii="仿宋" w:hAnsi="仿宋" w:eastAsia="仿宋" w:cs="仿宋"/>
          <w:b/>
          <w:bCs/>
          <w:sz w:val="32"/>
          <w:szCs w:val="32"/>
          <w:lang w:eastAsia="zh-CN"/>
        </w:rPr>
        <w:t>为</w:t>
      </w:r>
      <w:r>
        <w:rPr>
          <w:rFonts w:hint="eastAsia" w:ascii="仿宋" w:hAnsi="仿宋" w:eastAsia="仿宋" w:cs="仿宋"/>
          <w:b/>
          <w:bCs/>
          <w:sz w:val="32"/>
          <w:szCs w:val="32"/>
          <w:lang w:val="en-US" w:eastAsia="zh-CN"/>
        </w:rPr>
        <w:t>84.88</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二、评价工作开展情况</w:t>
      </w:r>
    </w:p>
    <w:p>
      <w:pPr>
        <w:snapToGrid w:val="0"/>
        <w:spacing w:line="560" w:lineRule="exact"/>
        <w:ind w:firstLine="643" w:firstLineChars="200"/>
        <w:rPr>
          <w:rFonts w:ascii="仿宋_GB2312" w:hAnsi="仿宋_GB2312" w:cs="仿宋_GB2312"/>
          <w:sz w:val="32"/>
          <w:szCs w:val="32"/>
        </w:rPr>
      </w:pPr>
      <w:r>
        <w:rPr>
          <w:rFonts w:hint="eastAsia" w:ascii="仿宋" w:hAnsi="仿宋" w:eastAsia="仿宋" w:cs="仿宋"/>
          <w:b/>
          <w:bCs/>
          <w:sz w:val="32"/>
          <w:szCs w:val="32"/>
          <w:lang w:eastAsia="zh-CN"/>
        </w:rPr>
        <w:t>省委办公厅大宗文印</w:t>
      </w:r>
      <w:r>
        <w:rPr>
          <w:rFonts w:hint="eastAsia" w:ascii="仿宋" w:hAnsi="仿宋" w:eastAsia="仿宋" w:cs="仿宋"/>
          <w:b/>
          <w:bCs/>
          <w:sz w:val="32"/>
          <w:szCs w:val="32"/>
        </w:rPr>
        <w:t>经费由</w:t>
      </w:r>
      <w:r>
        <w:rPr>
          <w:rFonts w:hint="eastAsia" w:ascii="仿宋" w:hAnsi="仿宋" w:eastAsia="仿宋" w:cs="仿宋"/>
          <w:b/>
          <w:bCs/>
          <w:sz w:val="32"/>
          <w:szCs w:val="32"/>
          <w:lang w:eastAsia="zh-CN"/>
        </w:rPr>
        <w:t>省委办公厅财务处和项目实施单位共同</w:t>
      </w:r>
      <w:r>
        <w:rPr>
          <w:rFonts w:hint="eastAsia" w:ascii="仿宋" w:hAnsi="仿宋" w:eastAsia="仿宋" w:cs="仿宋"/>
          <w:b/>
          <w:bCs/>
          <w:sz w:val="32"/>
          <w:szCs w:val="32"/>
        </w:rPr>
        <w:t>开展绩效评价工作。</w:t>
      </w:r>
      <w:r>
        <w:rPr>
          <w:rFonts w:hint="eastAsia" w:ascii="仿宋" w:hAnsi="仿宋" w:eastAsia="仿宋" w:cs="仿宋"/>
          <w:b/>
          <w:bCs/>
          <w:sz w:val="32"/>
          <w:szCs w:val="32"/>
          <w:lang w:eastAsia="zh-CN"/>
        </w:rPr>
        <w:t>按照项目支出</w:t>
      </w:r>
      <w:r>
        <w:rPr>
          <w:rFonts w:hint="eastAsia" w:ascii="仿宋" w:hAnsi="仿宋" w:eastAsia="仿宋" w:cs="仿宋"/>
          <w:b/>
          <w:bCs/>
          <w:sz w:val="32"/>
          <w:szCs w:val="32"/>
        </w:rPr>
        <w:t>绩效评价</w:t>
      </w:r>
      <w:r>
        <w:rPr>
          <w:rFonts w:hint="eastAsia" w:ascii="仿宋" w:hAnsi="仿宋" w:eastAsia="仿宋" w:cs="仿宋"/>
          <w:b/>
          <w:bCs/>
          <w:sz w:val="32"/>
          <w:szCs w:val="32"/>
          <w:lang w:eastAsia="zh-CN"/>
        </w:rPr>
        <w:t>办法</w:t>
      </w:r>
      <w:r>
        <w:rPr>
          <w:rFonts w:hint="eastAsia" w:ascii="仿宋" w:hAnsi="仿宋" w:eastAsia="仿宋" w:cs="仿宋"/>
          <w:b/>
          <w:bCs/>
          <w:sz w:val="32"/>
          <w:szCs w:val="32"/>
        </w:rPr>
        <w:t>，结合</w:t>
      </w:r>
      <w:r>
        <w:rPr>
          <w:rFonts w:hint="eastAsia" w:ascii="仿宋" w:hAnsi="仿宋" w:eastAsia="仿宋" w:cs="仿宋"/>
          <w:b/>
          <w:bCs/>
          <w:sz w:val="32"/>
          <w:szCs w:val="32"/>
          <w:lang w:eastAsia="zh-CN"/>
        </w:rPr>
        <w:t>设省委办公厅大宗文印</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项目实际，梳理、明确项目支出绩效评分体系。在此基础上，依据</w:t>
      </w:r>
      <w:r>
        <w:rPr>
          <w:rFonts w:hint="eastAsia" w:ascii="仿宋" w:hAnsi="仿宋" w:eastAsia="仿宋" w:cs="仿宋"/>
          <w:b/>
          <w:bCs/>
          <w:sz w:val="32"/>
          <w:szCs w:val="32"/>
          <w:lang w:val="en-US" w:eastAsia="zh-CN"/>
        </w:rPr>
        <w:t>2020年度</w:t>
      </w:r>
      <w:r>
        <w:rPr>
          <w:rFonts w:hint="eastAsia" w:ascii="仿宋" w:hAnsi="仿宋" w:eastAsia="仿宋" w:cs="仿宋"/>
          <w:b/>
          <w:bCs/>
          <w:sz w:val="32"/>
          <w:szCs w:val="32"/>
          <w:lang w:eastAsia="zh-CN"/>
        </w:rPr>
        <w:t>省委办公厅大宗文印</w:t>
      </w:r>
      <w:r>
        <w:rPr>
          <w:rFonts w:hint="eastAsia" w:ascii="仿宋" w:hAnsi="仿宋" w:eastAsia="仿宋" w:cs="仿宋"/>
          <w:b/>
          <w:bCs/>
          <w:sz w:val="32"/>
          <w:szCs w:val="32"/>
        </w:rPr>
        <w:t>经费</w:t>
      </w:r>
      <w:r>
        <w:rPr>
          <w:rFonts w:hint="eastAsia" w:ascii="仿宋" w:hAnsi="仿宋" w:eastAsia="仿宋" w:cs="仿宋"/>
          <w:b/>
          <w:bCs/>
          <w:sz w:val="32"/>
          <w:szCs w:val="32"/>
          <w:lang w:val="en-US" w:eastAsia="zh-CN"/>
        </w:rPr>
        <w:t>使用情况和年度绩效目标完成情况，对项目支出绩效进行综合评价</w:t>
      </w:r>
      <w:r>
        <w:rPr>
          <w:rFonts w:hint="eastAsia" w:ascii="仿宋" w:hAnsi="仿宋" w:eastAsia="仿宋" w:cs="仿宋"/>
          <w:b/>
          <w:bCs/>
          <w:sz w:val="32"/>
          <w:szCs w:val="32"/>
        </w:rPr>
        <w:t>。评价方法主要采用</w:t>
      </w:r>
      <w:r>
        <w:rPr>
          <w:rFonts w:hint="eastAsia" w:ascii="仿宋" w:hAnsi="仿宋" w:eastAsia="仿宋" w:cs="仿宋"/>
          <w:b/>
          <w:bCs/>
          <w:sz w:val="32"/>
          <w:szCs w:val="32"/>
          <w:lang w:eastAsia="zh-CN"/>
        </w:rPr>
        <w:t>比率分值法、分级评分法和缺（错）项扣分法</w:t>
      </w:r>
      <w:r>
        <w:rPr>
          <w:rFonts w:hint="eastAsia" w:ascii="仿宋" w:hAnsi="仿宋" w:eastAsia="仿宋" w:cs="仿宋"/>
          <w:b/>
          <w:bCs/>
          <w:sz w:val="32"/>
          <w:szCs w:val="32"/>
        </w:rPr>
        <w:t>，将年初绩效目标</w:t>
      </w:r>
      <w:r>
        <w:rPr>
          <w:rFonts w:hint="eastAsia" w:ascii="仿宋" w:hAnsi="仿宋" w:eastAsia="仿宋" w:cs="仿宋"/>
          <w:b/>
          <w:bCs/>
          <w:sz w:val="32"/>
          <w:szCs w:val="32"/>
          <w:lang w:eastAsia="zh-CN"/>
        </w:rPr>
        <w:t>与</w:t>
      </w:r>
      <w:r>
        <w:rPr>
          <w:rFonts w:hint="eastAsia" w:ascii="仿宋" w:hAnsi="仿宋" w:eastAsia="仿宋" w:cs="仿宋"/>
          <w:b/>
          <w:bCs/>
          <w:sz w:val="32"/>
          <w:szCs w:val="32"/>
        </w:rPr>
        <w:t>项目实际</w:t>
      </w:r>
      <w:r>
        <w:rPr>
          <w:rFonts w:hint="eastAsia" w:ascii="仿宋" w:hAnsi="仿宋" w:eastAsia="仿宋" w:cs="仿宋"/>
          <w:b/>
          <w:bCs/>
          <w:sz w:val="32"/>
          <w:szCs w:val="32"/>
          <w:lang w:eastAsia="zh-CN"/>
        </w:rPr>
        <w:t>完成情况</w:t>
      </w:r>
      <w:r>
        <w:rPr>
          <w:rFonts w:hint="eastAsia" w:ascii="仿宋" w:hAnsi="仿宋" w:eastAsia="仿宋" w:cs="仿宋"/>
          <w:b/>
          <w:bCs/>
          <w:sz w:val="32"/>
          <w:szCs w:val="32"/>
        </w:rPr>
        <w:t>进行比较，将项目</w:t>
      </w:r>
      <w:r>
        <w:rPr>
          <w:rFonts w:hint="eastAsia" w:ascii="仿宋" w:hAnsi="仿宋" w:eastAsia="仿宋" w:cs="仿宋"/>
          <w:b/>
          <w:bCs/>
          <w:sz w:val="32"/>
          <w:szCs w:val="32"/>
          <w:lang w:eastAsia="zh-CN"/>
        </w:rPr>
        <w:t>资金使用情况与文印工作开展情况、服务对象满意度</w:t>
      </w:r>
      <w:r>
        <w:rPr>
          <w:rFonts w:hint="eastAsia" w:ascii="仿宋" w:hAnsi="仿宋" w:eastAsia="仿宋" w:cs="仿宋"/>
          <w:b/>
          <w:bCs/>
          <w:sz w:val="32"/>
          <w:szCs w:val="32"/>
        </w:rPr>
        <w:t>进行配比。评价工作遵循相关性、重要性、系统性原则，</w:t>
      </w:r>
      <w:r>
        <w:rPr>
          <w:rFonts w:hint="eastAsia" w:ascii="仿宋" w:hAnsi="仿宋" w:eastAsia="仿宋" w:cs="仿宋"/>
          <w:b/>
          <w:bCs/>
          <w:sz w:val="32"/>
          <w:szCs w:val="32"/>
          <w:lang w:eastAsia="zh-CN"/>
        </w:rPr>
        <w:t>力求全面评价反映该项目总体绩效情况</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三、综合评价结论</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根据</w:t>
      </w:r>
      <w:r>
        <w:rPr>
          <w:rFonts w:hint="eastAsia" w:ascii="仿宋" w:hAnsi="仿宋" w:eastAsia="仿宋" w:cs="仿宋"/>
          <w:b/>
          <w:bCs/>
          <w:sz w:val="32"/>
          <w:szCs w:val="32"/>
          <w:lang w:eastAsia="zh-CN"/>
        </w:rPr>
        <w:t>省委办公厅大宗文印</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支出绩效</w:t>
      </w:r>
      <w:r>
        <w:rPr>
          <w:rFonts w:hint="eastAsia" w:ascii="仿宋" w:hAnsi="仿宋" w:eastAsia="仿宋" w:cs="仿宋"/>
          <w:b/>
          <w:bCs/>
          <w:sz w:val="32"/>
          <w:szCs w:val="32"/>
        </w:rPr>
        <w:t>评价</w:t>
      </w:r>
      <w:r>
        <w:rPr>
          <w:rFonts w:hint="eastAsia" w:ascii="仿宋" w:hAnsi="仿宋" w:eastAsia="仿宋" w:cs="仿宋"/>
          <w:b/>
          <w:bCs/>
          <w:sz w:val="32"/>
          <w:szCs w:val="32"/>
          <w:lang w:eastAsia="zh-CN"/>
        </w:rPr>
        <w:t>指标体系</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2020年</w:t>
      </w:r>
      <w:r>
        <w:rPr>
          <w:rFonts w:hint="eastAsia" w:ascii="仿宋" w:hAnsi="仿宋" w:eastAsia="仿宋" w:cs="仿宋"/>
          <w:b/>
          <w:bCs/>
          <w:sz w:val="32"/>
          <w:szCs w:val="32"/>
          <w:lang w:eastAsia="zh-CN"/>
        </w:rPr>
        <w:t>省委办公厅大宗文印</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支出绩效自评得分为</w:t>
      </w:r>
      <w:r>
        <w:rPr>
          <w:rFonts w:hint="eastAsia" w:ascii="仿宋" w:hAnsi="仿宋" w:eastAsia="仿宋" w:cs="仿宋"/>
          <w:b/>
          <w:bCs/>
          <w:sz w:val="32"/>
          <w:szCs w:val="32"/>
          <w:lang w:val="en-US" w:eastAsia="zh-CN"/>
        </w:rPr>
        <w:t>97.28分</w:t>
      </w:r>
      <w:r>
        <w:rPr>
          <w:rFonts w:hint="eastAsia" w:ascii="仿宋" w:hAnsi="仿宋" w:eastAsia="仿宋" w:cs="仿宋"/>
          <w:b/>
          <w:bCs/>
          <w:sz w:val="32"/>
          <w:szCs w:val="32"/>
        </w:rPr>
        <w:t>，</w:t>
      </w:r>
      <w:r>
        <w:rPr>
          <w:rFonts w:hint="eastAsia" w:ascii="仿宋" w:hAnsi="仿宋" w:eastAsia="仿宋" w:cs="仿宋"/>
          <w:b/>
          <w:bCs/>
          <w:sz w:val="32"/>
          <w:szCs w:val="32"/>
          <w:lang w:eastAsia="zh-CN"/>
        </w:rPr>
        <w:t>综合评价为优秀，</w:t>
      </w:r>
      <w:r>
        <w:rPr>
          <w:rFonts w:hint="eastAsia" w:ascii="仿宋" w:hAnsi="仿宋" w:eastAsia="仿宋" w:cs="仿宋"/>
          <w:b/>
          <w:bCs/>
          <w:sz w:val="32"/>
          <w:szCs w:val="32"/>
          <w:lang w:val="en-US" w:eastAsia="zh-CN"/>
        </w:rPr>
        <w:t>详见下表</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四、绩效评价分析</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（一）项目决策情况</w:t>
      </w:r>
    </w:p>
    <w:p>
      <w:pPr>
        <w:snapToGrid w:val="0"/>
        <w:spacing w:line="560" w:lineRule="exact"/>
        <w:ind w:firstLine="643" w:firstLineChars="200"/>
        <w:rPr>
          <w:rFonts w:ascii="楷体_GB2312" w:hAnsi="宋体" w:eastAsia="楷体_GB2312"/>
          <w:b/>
          <w:sz w:val="32"/>
          <w:szCs w:val="32"/>
        </w:rPr>
      </w:pPr>
      <w:r>
        <w:rPr>
          <w:rFonts w:hint="eastAsia" w:ascii="仿宋" w:hAnsi="仿宋" w:eastAsia="仿宋" w:cs="仿宋"/>
          <w:b/>
          <w:bCs/>
          <w:sz w:val="32"/>
          <w:szCs w:val="32"/>
          <w:lang w:eastAsia="zh-CN"/>
        </w:rPr>
        <w:t>按照办公厅年度重点工作安排，项目实施单位在充分调查研究、听取各需求单位意见建议的基础上，细化工作举措和年度计划安排，测算资金需求。财务处将该项目纳入年度部门预算草案编制，经厅务会审议后报财政厅纳入省级部门预算编制报批。</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（二）项目管理情况</w:t>
      </w:r>
    </w:p>
    <w:p>
      <w:pPr>
        <w:snapToGrid w:val="0"/>
        <w:spacing w:line="560" w:lineRule="exact"/>
        <w:ind w:firstLine="643" w:firstLineChars="200"/>
        <w:rPr>
          <w:rFonts w:hint="eastAsia" w:ascii="楷体_GB2312" w:hAnsi="宋体" w:eastAsia="仿宋"/>
          <w:b/>
          <w:sz w:val="32"/>
          <w:szCs w:val="32"/>
          <w:lang w:eastAsia="zh-CN"/>
        </w:rPr>
      </w:pPr>
      <w:r>
        <w:rPr>
          <w:rFonts w:hint="eastAsia" w:ascii="仿宋" w:hAnsi="仿宋" w:eastAsia="仿宋" w:cs="仿宋"/>
          <w:b/>
          <w:bCs/>
          <w:sz w:val="32"/>
          <w:szCs w:val="32"/>
          <w:lang w:eastAsia="zh-CN"/>
        </w:rPr>
        <w:t>该项目相关管理制度机制较为完善，项目实施单位严格按照文件印制相关制度推进项目执行，在项目执行过程中，未出现管理制度有悖于实际的情况，也未出现难以操作、无法落地、执行不畅的情况</w:t>
      </w:r>
      <w:r>
        <w:rPr>
          <w:rFonts w:hint="eastAsia" w:ascii="仿宋" w:hAnsi="仿宋" w:eastAsia="仿宋" w:cs="仿宋"/>
          <w:b/>
          <w:bCs/>
          <w:sz w:val="32"/>
          <w:szCs w:val="32"/>
        </w:rPr>
        <w:t>。</w:t>
      </w:r>
      <w:r>
        <w:rPr>
          <w:rFonts w:hint="eastAsia" w:ascii="仿宋" w:hAnsi="仿宋" w:eastAsia="仿宋" w:cs="仿宋"/>
          <w:b/>
          <w:bCs/>
          <w:sz w:val="32"/>
          <w:szCs w:val="32"/>
          <w:lang w:eastAsia="zh-CN"/>
        </w:rPr>
        <w:t>项目资金使用符合相关财务管理制度规定。</w:t>
      </w:r>
    </w:p>
    <w:p>
      <w:pPr>
        <w:snapToGrid w:val="0"/>
        <w:spacing w:line="560" w:lineRule="exact"/>
        <w:ind w:firstLine="643" w:firstLineChars="200"/>
        <w:rPr>
          <w:rFonts w:hint="eastAsia" w:ascii="楷体" w:hAnsi="楷体" w:eastAsia="楷体" w:cs="楷体"/>
          <w:b/>
          <w:sz w:val="32"/>
          <w:szCs w:val="32"/>
        </w:rPr>
      </w:pPr>
      <w:r>
        <w:rPr>
          <w:rFonts w:hint="eastAsia" w:ascii="楷体" w:hAnsi="楷体" w:eastAsia="楷体" w:cs="楷体"/>
          <w:b/>
          <w:sz w:val="32"/>
          <w:szCs w:val="32"/>
        </w:rPr>
        <w:t>（三）项目产出情况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项目实施单位</w:t>
      </w:r>
      <w:r>
        <w:rPr>
          <w:rFonts w:hint="eastAsia" w:ascii="仿宋" w:hAnsi="仿宋" w:eastAsia="仿宋" w:cs="仿宋"/>
          <w:b/>
          <w:bCs/>
          <w:sz w:val="32"/>
          <w:szCs w:val="32"/>
          <w:lang w:val="en-US" w:eastAsia="zh-CN"/>
        </w:rPr>
        <w:t>圆满完成全年文件印制工作，文印质量有所提高，在全厅各局室处满意度测评中综合评价为100%</w:t>
      </w:r>
      <w:r>
        <w:rPr>
          <w:rFonts w:hint="eastAsia" w:ascii="仿宋" w:hAnsi="仿宋" w:eastAsia="仿宋" w:cs="仿宋"/>
          <w:b/>
          <w:bCs/>
          <w:sz w:val="32"/>
          <w:szCs w:val="32"/>
        </w:rPr>
        <w:t>。</w:t>
      </w:r>
    </w:p>
    <w:p>
      <w:pPr>
        <w:snapToGrid w:val="0"/>
        <w:spacing w:line="560" w:lineRule="exact"/>
        <w:ind w:firstLine="643" w:firstLineChars="200"/>
        <w:rPr>
          <w:rFonts w:ascii="楷体_GB2312" w:hAnsi="宋体" w:eastAsia="楷体_GB2312"/>
          <w:b/>
          <w:sz w:val="32"/>
          <w:szCs w:val="32"/>
        </w:rPr>
      </w:pPr>
      <w:r>
        <w:rPr>
          <w:rFonts w:hint="eastAsia" w:ascii="楷体" w:hAnsi="楷体" w:eastAsia="楷体" w:cs="楷体"/>
          <w:b/>
          <w:sz w:val="32"/>
          <w:szCs w:val="32"/>
        </w:rPr>
        <w:t>（四）项目效益情况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在常态化疫情防控的背景下，项目实施单位保障了中央文件翻印和省委文件印制，确保政令畅通</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五、存在主要问题</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年初预算编制不够准确，执行中有部分预算未执行，预算执行率有待提高</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六、相关措施</w:t>
      </w:r>
    </w:p>
    <w:p>
      <w:pPr>
        <w:snapToGrid w:val="0"/>
        <w:spacing w:line="560" w:lineRule="exact"/>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进一步提高年初预算编制的精准度，强化项目实施单位预算执行力度，不断提高预算执行效率。</w:t>
      </w: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sectPr>
          <w:pgSz w:w="11906" w:h="16838"/>
          <w:pgMar w:top="1440" w:right="1800" w:bottom="1440" w:left="1800" w:header="851" w:footer="992" w:gutter="0"/>
          <w:cols w:space="425" w:num="1"/>
          <w:docGrid w:type="lines" w:linePitch="312" w:charSpace="0"/>
        </w:sectPr>
      </w:pPr>
    </w:p>
    <w:tbl>
      <w:tblPr>
        <w:tblStyle w:val="13"/>
        <w:tblW w:w="16015" w:type="dxa"/>
        <w:tblInd w:w="-902" w:type="dxa"/>
        <w:shd w:val="clear" w:color="auto" w:fill="auto"/>
        <w:tblLayout w:type="fixed"/>
        <w:tblCellMar>
          <w:top w:w="0" w:type="dxa"/>
          <w:left w:w="108" w:type="dxa"/>
          <w:bottom w:w="0" w:type="dxa"/>
          <w:right w:w="108" w:type="dxa"/>
        </w:tblCellMar>
      </w:tblPr>
      <w:tblGrid>
        <w:gridCol w:w="485"/>
        <w:gridCol w:w="611"/>
        <w:gridCol w:w="439"/>
        <w:gridCol w:w="530"/>
        <w:gridCol w:w="600"/>
        <w:gridCol w:w="2135"/>
        <w:gridCol w:w="704"/>
        <w:gridCol w:w="854"/>
        <w:gridCol w:w="969"/>
        <w:gridCol w:w="1004"/>
        <w:gridCol w:w="981"/>
        <w:gridCol w:w="1130"/>
        <w:gridCol w:w="2862"/>
        <w:gridCol w:w="761"/>
        <w:gridCol w:w="450"/>
        <w:gridCol w:w="785"/>
        <w:gridCol w:w="715"/>
      </w:tblGrid>
      <w:tr>
        <w:tblPrEx>
          <w:shd w:val="clear" w:color="auto" w:fill="auto"/>
          <w:tblCellMar>
            <w:top w:w="0" w:type="dxa"/>
            <w:left w:w="108" w:type="dxa"/>
            <w:bottom w:w="0" w:type="dxa"/>
            <w:right w:w="108" w:type="dxa"/>
          </w:tblCellMar>
        </w:tblPrEx>
        <w:trPr>
          <w:trHeight w:val="690" w:hRule="atLeast"/>
        </w:trPr>
        <w:tc>
          <w:tcPr>
            <w:tcW w:w="16015" w:type="dxa"/>
            <w:gridSpan w:val="1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b/>
                <w:bCs/>
                <w:i w:val="0"/>
                <w:iCs w:val="0"/>
                <w:color w:val="000000"/>
                <w:sz w:val="40"/>
                <w:szCs w:val="40"/>
                <w:u w:val="none"/>
              </w:rPr>
            </w:pPr>
            <w:r>
              <w:rPr>
                <w:rFonts w:hint="eastAsia" w:ascii="方正小标宋简体" w:hAnsi="方正小标宋简体" w:eastAsia="方正小标宋简体" w:cs="方正小标宋简体"/>
                <w:b/>
                <w:bCs/>
                <w:i w:val="0"/>
                <w:iCs w:val="0"/>
                <w:color w:val="000000"/>
                <w:kern w:val="0"/>
                <w:sz w:val="40"/>
                <w:szCs w:val="40"/>
                <w:u w:val="none"/>
                <w:lang w:val="en-US" w:eastAsia="zh-CN" w:bidi="ar"/>
              </w:rPr>
              <w:t>省委办公厅大宗文印费支出绩效评分表</w:t>
            </w:r>
          </w:p>
        </w:tc>
      </w:tr>
      <w:tr>
        <w:tblPrEx>
          <w:shd w:val="clear" w:color="auto" w:fill="auto"/>
          <w:tblCellMar>
            <w:top w:w="0" w:type="dxa"/>
            <w:left w:w="108" w:type="dxa"/>
            <w:bottom w:w="0" w:type="dxa"/>
            <w:right w:w="108" w:type="dxa"/>
          </w:tblCellMar>
        </w:tblPrEx>
        <w:trPr>
          <w:trHeight w:val="225" w:hRule="atLeast"/>
        </w:trPr>
        <w:tc>
          <w:tcPr>
            <w:tcW w:w="485"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611"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分值</w:t>
            </w:r>
          </w:p>
        </w:tc>
        <w:tc>
          <w:tcPr>
            <w:tcW w:w="1569" w:type="dxa"/>
            <w:gridSpan w:val="3"/>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分层分类指标</w:t>
            </w:r>
          </w:p>
        </w:tc>
        <w:tc>
          <w:tcPr>
            <w:tcW w:w="213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指标解释</w:t>
            </w:r>
          </w:p>
        </w:tc>
        <w:tc>
          <w:tcPr>
            <w:tcW w:w="5642" w:type="dxa"/>
            <w:gridSpan w:val="6"/>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评分方法</w:t>
            </w:r>
          </w:p>
        </w:tc>
        <w:tc>
          <w:tcPr>
            <w:tcW w:w="2862"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评价要点及说明</w:t>
            </w:r>
          </w:p>
        </w:tc>
        <w:tc>
          <w:tcPr>
            <w:tcW w:w="1211" w:type="dxa"/>
            <w:gridSpan w:val="2"/>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评价方式</w:t>
            </w:r>
          </w:p>
        </w:tc>
        <w:tc>
          <w:tcPr>
            <w:tcW w:w="785"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w:t>
            </w:r>
          </w:p>
        </w:tc>
        <w:tc>
          <w:tcPr>
            <w:tcW w:w="715"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tblPrEx>
          <w:shd w:val="clear" w:color="auto" w:fill="auto"/>
          <w:tblCellMar>
            <w:top w:w="0" w:type="dxa"/>
            <w:left w:w="108" w:type="dxa"/>
            <w:bottom w:w="0" w:type="dxa"/>
            <w:right w:w="108" w:type="dxa"/>
          </w:tblCellMar>
        </w:tblPrEx>
        <w:trPr>
          <w:trHeight w:val="270" w:hRule="atLeast"/>
        </w:trPr>
        <w:tc>
          <w:tcPr>
            <w:tcW w:w="48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61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569" w:type="dxa"/>
            <w:gridSpan w:val="3"/>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c>
          <w:tcPr>
            <w:tcW w:w="21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642" w:type="dxa"/>
            <w:gridSpan w:val="6"/>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286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211"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15"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20" w:hRule="atLeast"/>
        </w:trPr>
        <w:tc>
          <w:tcPr>
            <w:tcW w:w="48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61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分层指标</w:t>
            </w: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一级指标</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二级指标</w:t>
            </w:r>
          </w:p>
        </w:tc>
        <w:tc>
          <w:tcPr>
            <w:tcW w:w="21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方法归类</w:t>
            </w:r>
          </w:p>
        </w:tc>
        <w:tc>
          <w:tcPr>
            <w:tcW w:w="4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计算公式</w:t>
            </w:r>
          </w:p>
        </w:tc>
        <w:tc>
          <w:tcPr>
            <w:tcW w:w="286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业务处室自评</w:t>
            </w:r>
          </w:p>
        </w:tc>
        <w:tc>
          <w:tcPr>
            <w:tcW w:w="4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统筹考评</w:t>
            </w:r>
          </w:p>
        </w:tc>
        <w:tc>
          <w:tcPr>
            <w:tcW w:w="7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15"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90" w:hRule="atLeast"/>
        </w:trPr>
        <w:tc>
          <w:tcPr>
            <w:tcW w:w="485"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611"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213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0.00%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30.00%</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60.00%</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80.00%</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100.00%</w:t>
            </w:r>
          </w:p>
        </w:tc>
        <w:tc>
          <w:tcPr>
            <w:tcW w:w="2862"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85"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15"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08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4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通用指标</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项目决策</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制度完备</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项目指导意见、管理办法、实施细则等管理制度是否完善，是否存在脱离实际、缺陷、漏洞导致执行偏离预期</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4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发现一处扣3分，直至扣完</w:t>
            </w:r>
          </w:p>
        </w:tc>
        <w:tc>
          <w:tcPr>
            <w:tcW w:w="2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主要查看项目的相关管理制度机制是否健全完善，在项目执行过程中，是否存在管理制度有悖于实际的情况，是否存在难以操作、无法落地、执行不畅的情况，是否存在不能满足实际需求，未及时动态调整的情况</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715"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10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使用合规</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项目资金使用是否符合相关的财务管理制度规定</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4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发现一处扣2分，直至扣完</w:t>
            </w:r>
          </w:p>
        </w:tc>
        <w:tc>
          <w:tcPr>
            <w:tcW w:w="2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项目资金是否符合国家财经法规和财务管理制度及有关专项资金管理办法规定；资金支付是否有完整的审批程序和手续；是否符合项目预算批复或合同规定用途；是否存在截留、挤占、挪用、虚列支出等情况</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15"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135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资金使用率</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项目资金支付使用情况</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指标得分=资金实际使用金额/项目预算资金金额×100%*指标分值</w:t>
            </w:r>
          </w:p>
        </w:tc>
        <w:tc>
          <w:tcPr>
            <w:tcW w:w="2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主要查看财政资金实际支付使用，是否存在因制度机制、操作流程、管理疏漏、数据缺失等导致的资金结余，闲置浪费的情况</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12.73</w:t>
            </w:r>
          </w:p>
        </w:tc>
        <w:tc>
          <w:tcPr>
            <w:tcW w:w="71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预算执行率84.88%</w:t>
            </w:r>
          </w:p>
        </w:tc>
      </w:tr>
      <w:tr>
        <w:tblPrEx>
          <w:shd w:val="clear" w:color="auto" w:fill="auto"/>
          <w:tblCellMar>
            <w:top w:w="0" w:type="dxa"/>
            <w:left w:w="108" w:type="dxa"/>
            <w:bottom w:w="0" w:type="dxa"/>
            <w:right w:w="108" w:type="dxa"/>
          </w:tblCellMar>
        </w:tblPrEx>
        <w:trPr>
          <w:trHeight w:val="88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完成结果</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目标完成</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项目实施后是否完成预期目标</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指标得分=实际完成任务量/绩效目标设定任务量×100%*指标分值  </w:t>
            </w:r>
          </w:p>
        </w:tc>
        <w:tc>
          <w:tcPr>
            <w:tcW w:w="2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主要查看项目实施后产出数量指标完成情况。</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14.55</w:t>
            </w:r>
          </w:p>
        </w:tc>
        <w:tc>
          <w:tcPr>
            <w:tcW w:w="71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完成97%</w:t>
            </w:r>
          </w:p>
        </w:tc>
      </w:tr>
      <w:tr>
        <w:tblPrEx>
          <w:shd w:val="clear" w:color="auto" w:fill="auto"/>
          <w:tblCellMar>
            <w:top w:w="0" w:type="dxa"/>
            <w:left w:w="108" w:type="dxa"/>
            <w:bottom w:w="0" w:type="dxa"/>
            <w:right w:w="108" w:type="dxa"/>
          </w:tblCellMar>
        </w:tblPrEx>
        <w:trPr>
          <w:trHeight w:val="82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违规记录</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项目管理是否合规</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不合规</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3处及以上不合规</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2处不合规</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1处不合规</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合规</w:t>
            </w:r>
          </w:p>
        </w:tc>
        <w:tc>
          <w:tcPr>
            <w:tcW w:w="2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根据审计监督、财政检查结果反映项目管理是否合规</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15"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146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项目效果</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相关群体满意度调查情况</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9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根据实际满意度与满意度标准值的比率计算指标得分</w:t>
            </w:r>
          </w:p>
        </w:tc>
        <w:tc>
          <w:tcPr>
            <w:tcW w:w="2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主要考察项目相关方在政策实施过程中的满意值，通过不满意情况汇总分析政策在顶层设计、制度构建、管理实施及成效各环节的情况</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715"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满意度100%</w:t>
            </w:r>
          </w:p>
        </w:tc>
      </w:tr>
      <w:tr>
        <w:tblPrEx>
          <w:shd w:val="clear" w:color="auto" w:fill="auto"/>
          <w:tblCellMar>
            <w:top w:w="0" w:type="dxa"/>
            <w:left w:w="108" w:type="dxa"/>
            <w:bottom w:w="0" w:type="dxa"/>
            <w:right w:w="108" w:type="dxa"/>
          </w:tblCellMar>
        </w:tblPrEx>
        <w:trPr>
          <w:trHeight w:val="840" w:hRule="atLeast"/>
        </w:trPr>
        <w:tc>
          <w:tcPr>
            <w:tcW w:w="485"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6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4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服务质量提升</w:t>
            </w:r>
          </w:p>
        </w:tc>
        <w:tc>
          <w:tcPr>
            <w:tcW w:w="21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反映服务质量情况</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差</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较差</w:t>
            </w:r>
          </w:p>
        </w:tc>
        <w:tc>
          <w:tcPr>
            <w:tcW w:w="10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一般</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较好</w:t>
            </w:r>
          </w:p>
        </w:tc>
        <w:tc>
          <w:tcPr>
            <w:tcW w:w="1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好</w:t>
            </w:r>
          </w:p>
        </w:tc>
        <w:tc>
          <w:tcPr>
            <w:tcW w:w="28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保证中央文件翻印和省委文件印制</w:t>
            </w:r>
          </w:p>
        </w:tc>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15"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CellMar>
            <w:top w:w="0" w:type="dxa"/>
            <w:left w:w="108" w:type="dxa"/>
            <w:bottom w:w="0" w:type="dxa"/>
            <w:right w:w="108" w:type="dxa"/>
          </w:tblCellMar>
        </w:tblPrEx>
        <w:trPr>
          <w:trHeight w:val="660" w:hRule="atLeast"/>
        </w:trPr>
        <w:tc>
          <w:tcPr>
            <w:tcW w:w="485"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611"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439"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3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135"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04"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54"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69"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004"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8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13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862"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6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45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85"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97.28</w:t>
            </w:r>
          </w:p>
        </w:tc>
        <w:tc>
          <w:tcPr>
            <w:tcW w:w="715"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bl>
    <w:p>
      <w:pPr>
        <w:snapToGrid w:val="0"/>
        <w:spacing w:line="560" w:lineRule="exact"/>
        <w:rPr>
          <w:rFonts w:hint="eastAsia" w:ascii="仿宋" w:hAnsi="仿宋" w:eastAsia="仿宋" w:cs="仿宋"/>
          <w:b/>
          <w:bCs/>
          <w:sz w:val="32"/>
          <w:szCs w:val="32"/>
          <w:lang w:eastAsia="zh-CN"/>
        </w:rPr>
        <w:sectPr>
          <w:pgSz w:w="16838" w:h="11906" w:orient="landscape"/>
          <w:pgMar w:top="1800" w:right="1440" w:bottom="1800" w:left="1440" w:header="851" w:footer="992" w:gutter="0"/>
          <w:cols w:space="425" w:num="1"/>
          <w:docGrid w:type="lines" w:linePitch="312" w:charSpace="0"/>
        </w:sectPr>
      </w:pPr>
    </w:p>
    <w:p>
      <w:pPr>
        <w:snapToGrid w:val="0"/>
        <w:spacing w:beforeAutospacing="0" w:line="600" w:lineRule="exact"/>
        <w:jc w:val="center"/>
        <w:rPr>
          <w:rFonts w:ascii="方正小标宋简体" w:hAnsi="宋体" w:eastAsia="方正小标宋简体"/>
          <w:b/>
          <w:sz w:val="44"/>
          <w:szCs w:val="44"/>
        </w:rPr>
      </w:pPr>
      <w:r>
        <w:rPr>
          <w:rFonts w:hint="eastAsia" w:ascii="方正小标宋简体" w:hAnsi="宋体" w:eastAsia="方正小标宋简体"/>
          <w:b/>
          <w:sz w:val="44"/>
          <w:szCs w:val="44"/>
          <w:lang w:eastAsia="zh-CN"/>
        </w:rPr>
        <w:t>单位</w:t>
      </w:r>
      <w:r>
        <w:rPr>
          <w:rFonts w:hint="eastAsia" w:ascii="方正小标宋简体" w:hAnsi="宋体" w:eastAsia="方正小标宋简体"/>
          <w:b/>
          <w:sz w:val="44"/>
          <w:szCs w:val="44"/>
        </w:rPr>
        <w:t>预算项目支出绩效自评报告</w:t>
      </w:r>
    </w:p>
    <w:p>
      <w:pPr>
        <w:tabs>
          <w:tab w:val="left" w:pos="3885"/>
        </w:tabs>
        <w:snapToGrid w:val="0"/>
        <w:spacing w:line="600" w:lineRule="exact"/>
        <w:jc w:val="center"/>
        <w:rPr>
          <w:rFonts w:ascii="方正楷体简体" w:hAnsi="宋体" w:eastAsia="方正楷体简体"/>
          <w:b/>
          <w:sz w:val="32"/>
          <w:szCs w:val="32"/>
        </w:rPr>
      </w:pPr>
      <w:r>
        <w:rPr>
          <w:rFonts w:hint="eastAsia" w:ascii="楷体" w:hAnsi="楷体" w:eastAsia="楷体" w:cs="楷体"/>
          <w:b/>
          <w:sz w:val="32"/>
          <w:szCs w:val="32"/>
        </w:rPr>
        <w:t>（</w:t>
      </w:r>
      <w:r>
        <w:rPr>
          <w:rFonts w:hint="eastAsia" w:ascii="楷体" w:hAnsi="楷体" w:eastAsia="楷体" w:cs="楷体"/>
          <w:b/>
          <w:sz w:val="32"/>
          <w:szCs w:val="32"/>
          <w:lang w:eastAsia="zh-CN"/>
        </w:rPr>
        <w:t>信息化建设及运行维护</w:t>
      </w:r>
      <w:r>
        <w:rPr>
          <w:rFonts w:hint="eastAsia" w:ascii="楷体" w:hAnsi="楷体" w:eastAsia="楷体" w:cs="楷体"/>
          <w:b/>
          <w:sz w:val="32"/>
          <w:szCs w:val="32"/>
        </w:rPr>
        <w:t>经费）</w:t>
      </w:r>
    </w:p>
    <w:p>
      <w:pPr>
        <w:tabs>
          <w:tab w:val="left" w:pos="3885"/>
        </w:tabs>
        <w:snapToGrid w:val="0"/>
        <w:spacing w:line="600" w:lineRule="exact"/>
        <w:ind w:firstLine="643" w:firstLineChars="200"/>
        <w:jc w:val="left"/>
        <w:rPr>
          <w:rFonts w:ascii="宋体" w:hAnsi="宋体"/>
          <w:b/>
          <w:sz w:val="32"/>
          <w:szCs w:val="32"/>
        </w:rPr>
      </w:pPr>
    </w:p>
    <w:p>
      <w:pPr>
        <w:numPr>
          <w:ilvl w:val="0"/>
          <w:numId w:val="0"/>
        </w:numPr>
        <w:tabs>
          <w:tab w:val="left" w:pos="3885"/>
        </w:tabs>
        <w:snapToGrid w:val="0"/>
        <w:spacing w:line="56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eastAsia="zh-CN"/>
        </w:rPr>
        <w:t>一、</w:t>
      </w:r>
      <w:r>
        <w:rPr>
          <w:rFonts w:hint="eastAsia" w:ascii="黑体" w:hAnsi="黑体" w:eastAsia="黑体" w:cs="黑体"/>
          <w:b/>
          <w:bCs/>
          <w:sz w:val="32"/>
          <w:szCs w:val="32"/>
        </w:rPr>
        <w:t>基本情况</w:t>
      </w:r>
    </w:p>
    <w:p>
      <w:pPr>
        <w:pStyle w:val="24"/>
        <w:numPr>
          <w:ilvl w:val="0"/>
          <w:numId w:val="0"/>
        </w:numPr>
        <w:tabs>
          <w:tab w:val="left" w:pos="3885"/>
        </w:tabs>
        <w:snapToGrid w:val="0"/>
        <w:spacing w:line="560" w:lineRule="exact"/>
        <w:ind w:left="640" w:leftChars="0"/>
        <w:jc w:val="left"/>
        <w:rPr>
          <w:rFonts w:hint="eastAsia" w:ascii="楷体" w:hAnsi="楷体" w:eastAsia="楷体" w:cs="楷体"/>
          <w:b/>
          <w:sz w:val="32"/>
          <w:szCs w:val="32"/>
        </w:rPr>
      </w:pPr>
      <w:r>
        <w:rPr>
          <w:rFonts w:hint="eastAsia" w:ascii="楷体" w:hAnsi="楷体" w:eastAsia="楷体" w:cs="楷体"/>
          <w:b/>
          <w:sz w:val="32"/>
          <w:szCs w:val="32"/>
          <w:lang w:eastAsia="zh-CN"/>
        </w:rPr>
        <w:t>（一）</w:t>
      </w:r>
      <w:r>
        <w:rPr>
          <w:rFonts w:hint="eastAsia" w:ascii="楷体" w:hAnsi="楷体" w:eastAsia="楷体" w:cs="楷体"/>
          <w:b/>
          <w:sz w:val="32"/>
          <w:szCs w:val="32"/>
        </w:rPr>
        <w:t>项目概况</w:t>
      </w:r>
    </w:p>
    <w:p>
      <w:pPr>
        <w:tabs>
          <w:tab w:val="left" w:pos="3885"/>
        </w:tabs>
        <w:snapToGrid w:val="0"/>
        <w:spacing w:line="560" w:lineRule="exact"/>
        <w:ind w:firstLine="643" w:firstLineChars="200"/>
        <w:jc w:val="both"/>
        <w:rPr>
          <w:rFonts w:hint="eastAsia" w:ascii="仿宋" w:hAnsi="仿宋" w:eastAsia="仿宋" w:cs="仿宋"/>
          <w:b/>
          <w:bCs/>
          <w:sz w:val="32"/>
          <w:szCs w:val="32"/>
        </w:rPr>
      </w:pPr>
      <w:r>
        <w:rPr>
          <w:rFonts w:hint="eastAsia" w:ascii="仿宋" w:hAnsi="仿宋" w:eastAsia="仿宋" w:cs="仿宋"/>
          <w:b/>
          <w:bCs/>
          <w:sz w:val="32"/>
          <w:szCs w:val="32"/>
          <w:lang w:eastAsia="zh-CN"/>
        </w:rPr>
        <w:t>该项目主要用于为四川省网络中心和省委办公厅提供网络运行维护，为省委办公厅提供应用系统技术服务和网站信息服务保障，确保省网络中心和省委办公厅信息化应用系统和服务器正常运转</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rPr>
      </w:pPr>
      <w:r>
        <w:rPr>
          <w:rFonts w:hint="eastAsia" w:ascii="楷体" w:hAnsi="楷体" w:eastAsia="楷体" w:cs="楷体"/>
          <w:b/>
          <w:sz w:val="32"/>
          <w:szCs w:val="32"/>
        </w:rPr>
        <w:t>（二）项目实施情况</w:t>
      </w:r>
    </w:p>
    <w:p>
      <w:pPr>
        <w:spacing w:line="560" w:lineRule="exact"/>
        <w:ind w:firstLine="660"/>
        <w:rPr>
          <w:rFonts w:hint="eastAsia" w:ascii="仿宋" w:hAnsi="仿宋" w:eastAsia="仿宋" w:cs="仿宋"/>
          <w:b/>
          <w:bCs/>
          <w:sz w:val="32"/>
          <w:szCs w:val="32"/>
        </w:rPr>
      </w:pPr>
      <w:r>
        <w:rPr>
          <w:rFonts w:hint="eastAsia" w:ascii="仿宋" w:hAnsi="仿宋" w:eastAsia="仿宋" w:cs="仿宋"/>
          <w:b/>
          <w:bCs/>
          <w:sz w:val="32"/>
          <w:szCs w:val="32"/>
          <w:lang w:val="en-US" w:eastAsia="zh-CN"/>
        </w:rPr>
        <w:t>2020年项目实施单位在新冠疫情特殊条件下仍然圆满完成全年目标任务，全年对省委办公厅各部门信息化网络系统进行维护121次，完成各项网络系统维保任务，网络运行质效有所提高</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lang w:eastAsia="zh-CN"/>
        </w:rPr>
      </w:pPr>
      <w:r>
        <w:rPr>
          <w:rFonts w:hint="eastAsia" w:ascii="楷体" w:hAnsi="楷体" w:eastAsia="楷体" w:cs="楷体"/>
          <w:b/>
          <w:sz w:val="32"/>
          <w:szCs w:val="32"/>
          <w:lang w:eastAsia="zh-CN"/>
        </w:rPr>
        <w:t>（三）资金使用及绩效情况</w:t>
      </w:r>
    </w:p>
    <w:p>
      <w:pPr>
        <w:overflowPunct w:val="0"/>
        <w:spacing w:line="560" w:lineRule="exact"/>
        <w:ind w:firstLine="643" w:firstLineChars="200"/>
        <w:rPr>
          <w:rFonts w:hint="eastAsia" w:ascii="仿宋" w:hAnsi="仿宋" w:eastAsia="仿宋" w:cs="仿宋"/>
          <w:b/>
          <w:bCs/>
          <w:spacing w:val="-2"/>
          <w:sz w:val="32"/>
          <w:szCs w:val="32"/>
        </w:rPr>
      </w:pPr>
      <w:r>
        <w:rPr>
          <w:rFonts w:hint="eastAsia" w:ascii="仿宋" w:hAnsi="仿宋" w:eastAsia="仿宋" w:cs="仿宋"/>
          <w:b/>
          <w:bCs/>
          <w:sz w:val="32"/>
          <w:szCs w:val="32"/>
        </w:rPr>
        <w:t>2020年该项</w:t>
      </w:r>
      <w:r>
        <w:rPr>
          <w:rFonts w:hint="eastAsia" w:ascii="仿宋" w:hAnsi="仿宋" w:eastAsia="仿宋" w:cs="仿宋"/>
          <w:b/>
          <w:bCs/>
          <w:sz w:val="32"/>
          <w:szCs w:val="32"/>
          <w:lang w:eastAsia="zh-CN"/>
        </w:rPr>
        <w:t>目</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预算为</w:t>
      </w:r>
      <w:r>
        <w:rPr>
          <w:rFonts w:hint="eastAsia" w:ascii="仿宋" w:hAnsi="仿宋" w:eastAsia="仿宋" w:cs="仿宋"/>
          <w:b/>
          <w:bCs/>
          <w:sz w:val="32"/>
          <w:szCs w:val="32"/>
          <w:lang w:val="en-US" w:eastAsia="zh-CN"/>
        </w:rPr>
        <w:t>339.65万元，实际</w:t>
      </w:r>
      <w:r>
        <w:rPr>
          <w:rFonts w:hint="eastAsia" w:ascii="仿宋" w:hAnsi="仿宋" w:eastAsia="仿宋" w:cs="仿宋"/>
          <w:b/>
          <w:bCs/>
          <w:sz w:val="32"/>
          <w:szCs w:val="32"/>
        </w:rPr>
        <w:t>支出</w:t>
      </w:r>
      <w:r>
        <w:rPr>
          <w:rFonts w:hint="eastAsia" w:ascii="仿宋" w:hAnsi="仿宋" w:eastAsia="仿宋" w:cs="仿宋"/>
          <w:b/>
          <w:bCs/>
          <w:sz w:val="32"/>
          <w:szCs w:val="32"/>
          <w:lang w:val="en-US" w:eastAsia="zh-CN"/>
        </w:rPr>
        <w:t>339.65</w:t>
      </w:r>
      <w:r>
        <w:rPr>
          <w:rFonts w:hint="eastAsia" w:ascii="仿宋" w:hAnsi="仿宋" w:eastAsia="仿宋" w:cs="仿宋"/>
          <w:b/>
          <w:bCs/>
          <w:sz w:val="32"/>
          <w:szCs w:val="32"/>
        </w:rPr>
        <w:t>万元，预算执行率</w:t>
      </w:r>
      <w:r>
        <w:rPr>
          <w:rFonts w:hint="eastAsia" w:ascii="仿宋" w:hAnsi="仿宋" w:eastAsia="仿宋" w:cs="仿宋"/>
          <w:b/>
          <w:bCs/>
          <w:sz w:val="32"/>
          <w:szCs w:val="32"/>
          <w:lang w:eastAsia="zh-CN"/>
        </w:rPr>
        <w:t>为</w:t>
      </w:r>
      <w:r>
        <w:rPr>
          <w:rFonts w:hint="eastAsia" w:ascii="仿宋" w:hAnsi="仿宋" w:eastAsia="仿宋" w:cs="仿宋"/>
          <w:b/>
          <w:bCs/>
          <w:sz w:val="32"/>
          <w:szCs w:val="32"/>
          <w:lang w:val="en-US" w:eastAsia="zh-CN"/>
        </w:rPr>
        <w:t>100</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二、评价工作开展情况</w:t>
      </w:r>
    </w:p>
    <w:p>
      <w:pPr>
        <w:snapToGrid w:val="0"/>
        <w:spacing w:line="560" w:lineRule="exact"/>
        <w:ind w:firstLine="643" w:firstLineChars="200"/>
        <w:rPr>
          <w:rFonts w:ascii="仿宋_GB2312" w:hAnsi="仿宋_GB2312" w:cs="仿宋_GB2312"/>
          <w:sz w:val="32"/>
          <w:szCs w:val="32"/>
        </w:rPr>
      </w:pPr>
      <w:r>
        <w:rPr>
          <w:rFonts w:hint="eastAsia" w:ascii="仿宋" w:hAnsi="仿宋" w:eastAsia="仿宋" w:cs="仿宋"/>
          <w:b/>
          <w:bCs/>
          <w:sz w:val="32"/>
          <w:szCs w:val="32"/>
          <w:lang w:eastAsia="zh-CN"/>
        </w:rPr>
        <w:t>信息化建设及运行维护</w:t>
      </w:r>
      <w:r>
        <w:rPr>
          <w:rFonts w:hint="eastAsia" w:ascii="仿宋" w:hAnsi="仿宋" w:eastAsia="仿宋" w:cs="仿宋"/>
          <w:b/>
          <w:bCs/>
          <w:sz w:val="32"/>
          <w:szCs w:val="32"/>
        </w:rPr>
        <w:t>经费由</w:t>
      </w:r>
      <w:r>
        <w:rPr>
          <w:rFonts w:hint="eastAsia" w:ascii="仿宋" w:hAnsi="仿宋" w:eastAsia="仿宋" w:cs="仿宋"/>
          <w:b/>
          <w:bCs/>
          <w:sz w:val="32"/>
          <w:szCs w:val="32"/>
          <w:lang w:eastAsia="zh-CN"/>
        </w:rPr>
        <w:t>省委办公厅财务处和项目实施单位共同</w:t>
      </w:r>
      <w:r>
        <w:rPr>
          <w:rFonts w:hint="eastAsia" w:ascii="仿宋" w:hAnsi="仿宋" w:eastAsia="仿宋" w:cs="仿宋"/>
          <w:b/>
          <w:bCs/>
          <w:sz w:val="32"/>
          <w:szCs w:val="32"/>
        </w:rPr>
        <w:t>开展绩效评价工作。</w:t>
      </w:r>
      <w:r>
        <w:rPr>
          <w:rFonts w:hint="eastAsia" w:ascii="仿宋" w:hAnsi="仿宋" w:eastAsia="仿宋" w:cs="仿宋"/>
          <w:b/>
          <w:bCs/>
          <w:sz w:val="32"/>
          <w:szCs w:val="32"/>
          <w:lang w:eastAsia="zh-CN"/>
        </w:rPr>
        <w:t>按照项目支出</w:t>
      </w:r>
      <w:r>
        <w:rPr>
          <w:rFonts w:hint="eastAsia" w:ascii="仿宋" w:hAnsi="仿宋" w:eastAsia="仿宋" w:cs="仿宋"/>
          <w:b/>
          <w:bCs/>
          <w:sz w:val="32"/>
          <w:szCs w:val="32"/>
        </w:rPr>
        <w:t>绩效评价</w:t>
      </w:r>
      <w:r>
        <w:rPr>
          <w:rFonts w:hint="eastAsia" w:ascii="仿宋" w:hAnsi="仿宋" w:eastAsia="仿宋" w:cs="仿宋"/>
          <w:b/>
          <w:bCs/>
          <w:sz w:val="32"/>
          <w:szCs w:val="32"/>
          <w:lang w:eastAsia="zh-CN"/>
        </w:rPr>
        <w:t>办法</w:t>
      </w:r>
      <w:r>
        <w:rPr>
          <w:rFonts w:hint="eastAsia" w:ascii="仿宋" w:hAnsi="仿宋" w:eastAsia="仿宋" w:cs="仿宋"/>
          <w:b/>
          <w:bCs/>
          <w:sz w:val="32"/>
          <w:szCs w:val="32"/>
        </w:rPr>
        <w:t>，结合</w:t>
      </w:r>
      <w:r>
        <w:rPr>
          <w:rFonts w:hint="eastAsia" w:ascii="仿宋" w:hAnsi="仿宋" w:eastAsia="仿宋" w:cs="仿宋"/>
          <w:b/>
          <w:bCs/>
          <w:sz w:val="32"/>
          <w:szCs w:val="32"/>
          <w:lang w:eastAsia="zh-CN"/>
        </w:rPr>
        <w:t>信息化建设及运行维护</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项目实际，梳理、明确项目支出绩效评分体系。在此基础上，依据</w:t>
      </w:r>
      <w:r>
        <w:rPr>
          <w:rFonts w:hint="eastAsia" w:ascii="仿宋" w:hAnsi="仿宋" w:eastAsia="仿宋" w:cs="仿宋"/>
          <w:b/>
          <w:bCs/>
          <w:sz w:val="32"/>
          <w:szCs w:val="32"/>
          <w:lang w:val="en-US" w:eastAsia="zh-CN"/>
        </w:rPr>
        <w:t>2020年度</w:t>
      </w:r>
      <w:r>
        <w:rPr>
          <w:rFonts w:hint="eastAsia" w:ascii="仿宋" w:hAnsi="仿宋" w:eastAsia="仿宋" w:cs="仿宋"/>
          <w:b/>
          <w:bCs/>
          <w:sz w:val="32"/>
          <w:szCs w:val="32"/>
          <w:lang w:eastAsia="zh-CN"/>
        </w:rPr>
        <w:t>信息化建设及运行维护</w:t>
      </w:r>
      <w:r>
        <w:rPr>
          <w:rFonts w:hint="eastAsia" w:ascii="仿宋" w:hAnsi="仿宋" w:eastAsia="仿宋" w:cs="仿宋"/>
          <w:b/>
          <w:bCs/>
          <w:sz w:val="32"/>
          <w:szCs w:val="32"/>
        </w:rPr>
        <w:t>经费</w:t>
      </w:r>
      <w:r>
        <w:rPr>
          <w:rFonts w:hint="eastAsia" w:ascii="仿宋" w:hAnsi="仿宋" w:eastAsia="仿宋" w:cs="仿宋"/>
          <w:b/>
          <w:bCs/>
          <w:sz w:val="32"/>
          <w:szCs w:val="32"/>
          <w:lang w:val="en-US" w:eastAsia="zh-CN"/>
        </w:rPr>
        <w:t>使用情况和年度绩效目标完成情况，对项目支出绩效进行综合评价</w:t>
      </w:r>
      <w:r>
        <w:rPr>
          <w:rFonts w:hint="eastAsia" w:ascii="仿宋" w:hAnsi="仿宋" w:eastAsia="仿宋" w:cs="仿宋"/>
          <w:b/>
          <w:bCs/>
          <w:sz w:val="32"/>
          <w:szCs w:val="32"/>
        </w:rPr>
        <w:t>。评价方法主要采用</w:t>
      </w:r>
      <w:r>
        <w:rPr>
          <w:rFonts w:hint="eastAsia" w:ascii="仿宋" w:hAnsi="仿宋" w:eastAsia="仿宋" w:cs="仿宋"/>
          <w:b/>
          <w:bCs/>
          <w:sz w:val="32"/>
          <w:szCs w:val="32"/>
          <w:lang w:eastAsia="zh-CN"/>
        </w:rPr>
        <w:t>比率分值法、分级评分法和缺（错）项扣分法</w:t>
      </w:r>
      <w:r>
        <w:rPr>
          <w:rFonts w:hint="eastAsia" w:ascii="仿宋" w:hAnsi="仿宋" w:eastAsia="仿宋" w:cs="仿宋"/>
          <w:b/>
          <w:bCs/>
          <w:sz w:val="32"/>
          <w:szCs w:val="32"/>
        </w:rPr>
        <w:t>，将年初绩效目标</w:t>
      </w:r>
      <w:r>
        <w:rPr>
          <w:rFonts w:hint="eastAsia" w:ascii="仿宋" w:hAnsi="仿宋" w:eastAsia="仿宋" w:cs="仿宋"/>
          <w:b/>
          <w:bCs/>
          <w:sz w:val="32"/>
          <w:szCs w:val="32"/>
          <w:lang w:eastAsia="zh-CN"/>
        </w:rPr>
        <w:t>与</w:t>
      </w:r>
      <w:r>
        <w:rPr>
          <w:rFonts w:hint="eastAsia" w:ascii="仿宋" w:hAnsi="仿宋" w:eastAsia="仿宋" w:cs="仿宋"/>
          <w:b/>
          <w:bCs/>
          <w:sz w:val="32"/>
          <w:szCs w:val="32"/>
        </w:rPr>
        <w:t>项目实际</w:t>
      </w:r>
      <w:r>
        <w:rPr>
          <w:rFonts w:hint="eastAsia" w:ascii="仿宋" w:hAnsi="仿宋" w:eastAsia="仿宋" w:cs="仿宋"/>
          <w:b/>
          <w:bCs/>
          <w:sz w:val="32"/>
          <w:szCs w:val="32"/>
          <w:lang w:eastAsia="zh-CN"/>
        </w:rPr>
        <w:t>完成情况</w:t>
      </w:r>
      <w:r>
        <w:rPr>
          <w:rFonts w:hint="eastAsia" w:ascii="仿宋" w:hAnsi="仿宋" w:eastAsia="仿宋" w:cs="仿宋"/>
          <w:b/>
          <w:bCs/>
          <w:sz w:val="32"/>
          <w:szCs w:val="32"/>
        </w:rPr>
        <w:t>进行比较，将项目</w:t>
      </w:r>
      <w:r>
        <w:rPr>
          <w:rFonts w:hint="eastAsia" w:ascii="仿宋" w:hAnsi="仿宋" w:eastAsia="仿宋" w:cs="仿宋"/>
          <w:b/>
          <w:bCs/>
          <w:sz w:val="32"/>
          <w:szCs w:val="32"/>
          <w:lang w:eastAsia="zh-CN"/>
        </w:rPr>
        <w:t>资金使用情况与运行维护开展情况、服务对象满意度</w:t>
      </w:r>
      <w:r>
        <w:rPr>
          <w:rFonts w:hint="eastAsia" w:ascii="仿宋" w:hAnsi="仿宋" w:eastAsia="仿宋" w:cs="仿宋"/>
          <w:b/>
          <w:bCs/>
          <w:sz w:val="32"/>
          <w:szCs w:val="32"/>
        </w:rPr>
        <w:t>进行配比。评价工作遵循相关性、重要性、系统性原则，</w:t>
      </w:r>
      <w:r>
        <w:rPr>
          <w:rFonts w:hint="eastAsia" w:ascii="仿宋" w:hAnsi="仿宋" w:eastAsia="仿宋" w:cs="仿宋"/>
          <w:b/>
          <w:bCs/>
          <w:sz w:val="32"/>
          <w:szCs w:val="32"/>
          <w:lang w:eastAsia="zh-CN"/>
        </w:rPr>
        <w:t>力求全面评价反映该项目总体绩效情况</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三、综合评价结论</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根据</w:t>
      </w:r>
      <w:r>
        <w:rPr>
          <w:rFonts w:hint="eastAsia" w:ascii="仿宋" w:hAnsi="仿宋" w:eastAsia="仿宋" w:cs="仿宋"/>
          <w:b/>
          <w:bCs/>
          <w:sz w:val="32"/>
          <w:szCs w:val="32"/>
          <w:lang w:eastAsia="zh-CN"/>
        </w:rPr>
        <w:t>信息化建设及运行维护</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支出绩效</w:t>
      </w:r>
      <w:r>
        <w:rPr>
          <w:rFonts w:hint="eastAsia" w:ascii="仿宋" w:hAnsi="仿宋" w:eastAsia="仿宋" w:cs="仿宋"/>
          <w:b/>
          <w:bCs/>
          <w:sz w:val="32"/>
          <w:szCs w:val="32"/>
        </w:rPr>
        <w:t>评价</w:t>
      </w:r>
      <w:r>
        <w:rPr>
          <w:rFonts w:hint="eastAsia" w:ascii="仿宋" w:hAnsi="仿宋" w:eastAsia="仿宋" w:cs="仿宋"/>
          <w:b/>
          <w:bCs/>
          <w:sz w:val="32"/>
          <w:szCs w:val="32"/>
          <w:lang w:eastAsia="zh-CN"/>
        </w:rPr>
        <w:t>指标体系</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2020年</w:t>
      </w:r>
      <w:r>
        <w:rPr>
          <w:rFonts w:hint="eastAsia" w:ascii="仿宋" w:hAnsi="仿宋" w:eastAsia="仿宋" w:cs="仿宋"/>
          <w:b/>
          <w:bCs/>
          <w:sz w:val="32"/>
          <w:szCs w:val="32"/>
          <w:lang w:eastAsia="zh-CN"/>
        </w:rPr>
        <w:t>信息化建设及运行维护</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支出绩效自评得分为</w:t>
      </w:r>
      <w:r>
        <w:rPr>
          <w:rFonts w:hint="eastAsia" w:ascii="仿宋" w:hAnsi="仿宋" w:eastAsia="仿宋" w:cs="仿宋"/>
          <w:b/>
          <w:bCs/>
          <w:sz w:val="32"/>
          <w:szCs w:val="32"/>
          <w:lang w:val="en-US" w:eastAsia="zh-CN"/>
        </w:rPr>
        <w:t>96.25分</w:t>
      </w:r>
      <w:r>
        <w:rPr>
          <w:rFonts w:hint="eastAsia" w:ascii="仿宋" w:hAnsi="仿宋" w:eastAsia="仿宋" w:cs="仿宋"/>
          <w:b/>
          <w:bCs/>
          <w:sz w:val="32"/>
          <w:szCs w:val="32"/>
        </w:rPr>
        <w:t>，</w:t>
      </w:r>
      <w:r>
        <w:rPr>
          <w:rFonts w:hint="eastAsia" w:ascii="仿宋" w:hAnsi="仿宋" w:eastAsia="仿宋" w:cs="仿宋"/>
          <w:b/>
          <w:bCs/>
          <w:sz w:val="32"/>
          <w:szCs w:val="32"/>
          <w:lang w:eastAsia="zh-CN"/>
        </w:rPr>
        <w:t>综合评价为优秀，</w:t>
      </w:r>
      <w:r>
        <w:rPr>
          <w:rFonts w:hint="eastAsia" w:ascii="仿宋" w:hAnsi="仿宋" w:eastAsia="仿宋" w:cs="仿宋"/>
          <w:b/>
          <w:bCs/>
          <w:sz w:val="32"/>
          <w:szCs w:val="32"/>
          <w:lang w:val="en-US" w:eastAsia="zh-CN"/>
        </w:rPr>
        <w:t>详见下表</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四、绩效评价分析</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（一）项目决策情况</w:t>
      </w:r>
    </w:p>
    <w:p>
      <w:pPr>
        <w:snapToGrid w:val="0"/>
        <w:spacing w:line="560" w:lineRule="exact"/>
        <w:ind w:firstLine="643" w:firstLineChars="200"/>
        <w:rPr>
          <w:rFonts w:ascii="楷体_GB2312" w:hAnsi="宋体" w:eastAsia="楷体_GB2312"/>
          <w:b/>
          <w:sz w:val="32"/>
          <w:szCs w:val="32"/>
        </w:rPr>
      </w:pPr>
      <w:r>
        <w:rPr>
          <w:rFonts w:hint="eastAsia" w:ascii="仿宋" w:hAnsi="仿宋" w:eastAsia="仿宋" w:cs="仿宋"/>
          <w:b/>
          <w:bCs/>
          <w:sz w:val="32"/>
          <w:szCs w:val="32"/>
          <w:lang w:eastAsia="zh-CN"/>
        </w:rPr>
        <w:t>按照办公厅年度重点工作安排，项目实施单位在充分调查研究、听取各需求单位意见建议的基础上，统筹安排全厅信息化运维工作计划，科学合理测算资金需求。财务处将该项目纳入年度部门预算草案编制，经厅务会审议后报财政厅纳入省级部门预算编制报批。</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（二）项目管理情况</w:t>
      </w:r>
    </w:p>
    <w:p>
      <w:pPr>
        <w:snapToGrid w:val="0"/>
        <w:spacing w:line="560" w:lineRule="exact"/>
        <w:ind w:firstLine="643" w:firstLineChars="200"/>
        <w:rPr>
          <w:rFonts w:hint="eastAsia" w:ascii="楷体_GB2312" w:hAnsi="宋体" w:eastAsia="仿宋"/>
          <w:b/>
          <w:sz w:val="32"/>
          <w:szCs w:val="32"/>
          <w:lang w:eastAsia="zh-CN"/>
        </w:rPr>
      </w:pPr>
      <w:r>
        <w:rPr>
          <w:rFonts w:hint="eastAsia" w:ascii="仿宋" w:hAnsi="仿宋" w:eastAsia="仿宋" w:cs="仿宋"/>
          <w:b/>
          <w:bCs/>
          <w:sz w:val="32"/>
          <w:szCs w:val="32"/>
          <w:lang w:eastAsia="zh-CN"/>
        </w:rPr>
        <w:t>该项目相关管理制度机制较为完善，项目实施单位严格按照信息化建设相关规章制度推进项目执行，在项目执行过程中，未出现管理制度有悖于实际的情况，也未出现难以操作、无法落地、执行不畅的情况</w:t>
      </w:r>
      <w:r>
        <w:rPr>
          <w:rFonts w:hint="eastAsia" w:ascii="仿宋" w:hAnsi="仿宋" w:eastAsia="仿宋" w:cs="仿宋"/>
          <w:b/>
          <w:bCs/>
          <w:sz w:val="32"/>
          <w:szCs w:val="32"/>
        </w:rPr>
        <w:t>。</w:t>
      </w:r>
      <w:r>
        <w:rPr>
          <w:rFonts w:hint="eastAsia" w:ascii="仿宋" w:hAnsi="仿宋" w:eastAsia="仿宋" w:cs="仿宋"/>
          <w:b/>
          <w:bCs/>
          <w:sz w:val="32"/>
          <w:szCs w:val="32"/>
          <w:lang w:eastAsia="zh-CN"/>
        </w:rPr>
        <w:t>项目资金使用符合相关财务管理制度规定。</w:t>
      </w:r>
    </w:p>
    <w:p>
      <w:pPr>
        <w:snapToGrid w:val="0"/>
        <w:spacing w:line="560" w:lineRule="exact"/>
        <w:ind w:firstLine="643" w:firstLineChars="200"/>
        <w:rPr>
          <w:rFonts w:hint="eastAsia" w:ascii="楷体" w:hAnsi="楷体" w:eastAsia="楷体" w:cs="楷体"/>
          <w:b/>
          <w:sz w:val="32"/>
          <w:szCs w:val="32"/>
        </w:rPr>
      </w:pPr>
      <w:r>
        <w:rPr>
          <w:rFonts w:hint="eastAsia" w:ascii="楷体" w:hAnsi="楷体" w:eastAsia="楷体" w:cs="楷体"/>
          <w:b/>
          <w:sz w:val="32"/>
          <w:szCs w:val="32"/>
        </w:rPr>
        <w:t>（三）项目产出情况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项目实施单位</w:t>
      </w:r>
      <w:r>
        <w:rPr>
          <w:rFonts w:hint="eastAsia" w:ascii="仿宋" w:hAnsi="仿宋" w:eastAsia="仿宋" w:cs="仿宋"/>
          <w:b/>
          <w:bCs/>
          <w:sz w:val="32"/>
          <w:szCs w:val="32"/>
          <w:lang w:val="en-US" w:eastAsia="zh-CN"/>
        </w:rPr>
        <w:t>全年对省委办公厅各部门信息化网络系统进行维护121次，完成各项网络系统维保任务，网络运行质效有所提高，全厅干部职工满意度达98%</w:t>
      </w:r>
      <w:r>
        <w:rPr>
          <w:rFonts w:hint="eastAsia" w:ascii="仿宋" w:hAnsi="仿宋" w:eastAsia="仿宋" w:cs="仿宋"/>
          <w:b/>
          <w:bCs/>
          <w:sz w:val="32"/>
          <w:szCs w:val="32"/>
        </w:rPr>
        <w:t>。</w:t>
      </w:r>
    </w:p>
    <w:p>
      <w:pPr>
        <w:snapToGrid w:val="0"/>
        <w:spacing w:line="560" w:lineRule="exact"/>
        <w:ind w:firstLine="643" w:firstLineChars="200"/>
        <w:rPr>
          <w:rFonts w:ascii="楷体_GB2312" w:hAnsi="宋体" w:eastAsia="楷体_GB2312"/>
          <w:b/>
          <w:sz w:val="32"/>
          <w:szCs w:val="32"/>
        </w:rPr>
      </w:pPr>
      <w:r>
        <w:rPr>
          <w:rFonts w:hint="eastAsia" w:ascii="楷体" w:hAnsi="楷体" w:eastAsia="楷体" w:cs="楷体"/>
          <w:b/>
          <w:sz w:val="32"/>
          <w:szCs w:val="32"/>
        </w:rPr>
        <w:t>（四）项目效益情况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在疫情防控常态化的背景下，项目实施单位有力保障了全省信息网络应急处置工作顺利开展，确保了省委和办公厅信息网络正常运转和安全保密</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五、存在主要问题</w:t>
      </w:r>
    </w:p>
    <w:p>
      <w:pPr>
        <w:snapToGrid w:val="0"/>
        <w:spacing w:line="560" w:lineRule="exact"/>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信息化运维响应及时性有待提高。</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六、相关措施</w:t>
      </w:r>
    </w:p>
    <w:p>
      <w:pPr>
        <w:snapToGrid w:val="0"/>
        <w:spacing w:line="560" w:lineRule="exact"/>
        <w:ind w:firstLine="643" w:firstLineChars="200"/>
        <w:rPr>
          <w:rFonts w:hint="eastAsia" w:ascii="仿宋" w:hAnsi="仿宋" w:eastAsia="仿宋" w:cs="仿宋"/>
          <w:b/>
          <w:bCs/>
          <w:sz w:val="32"/>
          <w:szCs w:val="32"/>
          <w:lang w:eastAsia="zh-CN"/>
        </w:rPr>
      </w:pPr>
      <w:r>
        <w:rPr>
          <w:rFonts w:hint="eastAsia" w:ascii="仿宋" w:hAnsi="仿宋" w:eastAsia="仿宋" w:cs="仿宋"/>
          <w:b/>
          <w:bCs/>
          <w:sz w:val="32"/>
          <w:szCs w:val="32"/>
          <w:lang w:eastAsia="zh-CN"/>
        </w:rPr>
        <w:t>进一步缩短信息化运维响应时间，不断提高服务对象满意度，确保年初制定的项目绩效目标高质量完成。</w:t>
      </w: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sectPr>
          <w:pgSz w:w="11906" w:h="16838"/>
          <w:pgMar w:top="1440" w:right="1800" w:bottom="1440" w:left="1800" w:header="851" w:footer="992" w:gutter="0"/>
          <w:cols w:space="425" w:num="1"/>
          <w:docGrid w:type="lines" w:linePitch="312" w:charSpace="0"/>
        </w:sectPr>
      </w:pPr>
    </w:p>
    <w:tbl>
      <w:tblPr>
        <w:tblStyle w:val="13"/>
        <w:tblW w:w="16016" w:type="dxa"/>
        <w:tblInd w:w="-879" w:type="dxa"/>
        <w:shd w:val="clear" w:color="auto" w:fill="auto"/>
        <w:tblLayout w:type="fixed"/>
        <w:tblCellMar>
          <w:top w:w="0" w:type="dxa"/>
          <w:left w:w="108" w:type="dxa"/>
          <w:bottom w:w="0" w:type="dxa"/>
          <w:right w:w="108" w:type="dxa"/>
        </w:tblCellMar>
      </w:tblPr>
      <w:tblGrid>
        <w:gridCol w:w="450"/>
        <w:gridCol w:w="646"/>
        <w:gridCol w:w="589"/>
        <w:gridCol w:w="577"/>
        <w:gridCol w:w="588"/>
        <w:gridCol w:w="2244"/>
        <w:gridCol w:w="733"/>
        <w:gridCol w:w="964"/>
        <w:gridCol w:w="942"/>
        <w:gridCol w:w="942"/>
        <w:gridCol w:w="942"/>
        <w:gridCol w:w="1063"/>
        <w:gridCol w:w="2347"/>
        <w:gridCol w:w="819"/>
        <w:gridCol w:w="600"/>
        <w:gridCol w:w="808"/>
        <w:gridCol w:w="762"/>
      </w:tblGrid>
      <w:tr>
        <w:tblPrEx>
          <w:shd w:val="clear" w:color="auto" w:fill="auto"/>
          <w:tblCellMar>
            <w:top w:w="0" w:type="dxa"/>
            <w:left w:w="108" w:type="dxa"/>
            <w:bottom w:w="0" w:type="dxa"/>
            <w:right w:w="108" w:type="dxa"/>
          </w:tblCellMar>
        </w:tblPrEx>
        <w:trPr>
          <w:trHeight w:val="690" w:hRule="atLeast"/>
        </w:trPr>
        <w:tc>
          <w:tcPr>
            <w:tcW w:w="16016" w:type="dxa"/>
            <w:gridSpan w:val="1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b/>
                <w:bCs/>
                <w:i w:val="0"/>
                <w:iCs w:val="0"/>
                <w:color w:val="000000"/>
                <w:sz w:val="40"/>
                <w:szCs w:val="40"/>
                <w:u w:val="none"/>
              </w:rPr>
            </w:pPr>
            <w:r>
              <w:rPr>
                <w:rFonts w:hint="eastAsia" w:ascii="方正小标宋简体" w:hAnsi="方正小标宋简体" w:eastAsia="方正小标宋简体" w:cs="方正小标宋简体"/>
                <w:b/>
                <w:bCs/>
                <w:i w:val="0"/>
                <w:iCs w:val="0"/>
                <w:color w:val="000000"/>
                <w:kern w:val="0"/>
                <w:sz w:val="40"/>
                <w:szCs w:val="40"/>
                <w:u w:val="none"/>
                <w:lang w:val="en-US" w:eastAsia="zh-CN" w:bidi="ar"/>
              </w:rPr>
              <w:t>省委办公厅信息化建设运行维护费支出绩效评分表</w:t>
            </w:r>
          </w:p>
        </w:tc>
      </w:tr>
      <w:tr>
        <w:tblPrEx>
          <w:shd w:val="clear" w:color="auto" w:fill="auto"/>
          <w:tblCellMar>
            <w:top w:w="0" w:type="dxa"/>
            <w:left w:w="108" w:type="dxa"/>
            <w:bottom w:w="0" w:type="dxa"/>
            <w:right w:w="108" w:type="dxa"/>
          </w:tblCellMar>
        </w:tblPrEx>
        <w:trPr>
          <w:trHeight w:val="225" w:hRule="atLeast"/>
        </w:trPr>
        <w:tc>
          <w:tcPr>
            <w:tcW w:w="450"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646"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分值</w:t>
            </w:r>
          </w:p>
        </w:tc>
        <w:tc>
          <w:tcPr>
            <w:tcW w:w="1754" w:type="dxa"/>
            <w:gridSpan w:val="3"/>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分层分类指标</w:t>
            </w:r>
          </w:p>
        </w:tc>
        <w:tc>
          <w:tcPr>
            <w:tcW w:w="224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指标解释</w:t>
            </w:r>
          </w:p>
        </w:tc>
        <w:tc>
          <w:tcPr>
            <w:tcW w:w="5586" w:type="dxa"/>
            <w:gridSpan w:val="6"/>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评分方法</w:t>
            </w:r>
          </w:p>
        </w:tc>
        <w:tc>
          <w:tcPr>
            <w:tcW w:w="234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评价要点及说明</w:t>
            </w:r>
          </w:p>
        </w:tc>
        <w:tc>
          <w:tcPr>
            <w:tcW w:w="1419" w:type="dxa"/>
            <w:gridSpan w:val="2"/>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评价方式</w:t>
            </w:r>
          </w:p>
        </w:tc>
        <w:tc>
          <w:tcPr>
            <w:tcW w:w="80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w:t>
            </w:r>
          </w:p>
        </w:tc>
        <w:tc>
          <w:tcPr>
            <w:tcW w:w="762"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tblPrEx>
          <w:shd w:val="clear" w:color="auto" w:fill="auto"/>
          <w:tblCellMar>
            <w:top w:w="0" w:type="dxa"/>
            <w:left w:w="108" w:type="dxa"/>
            <w:bottom w:w="0" w:type="dxa"/>
            <w:right w:w="108" w:type="dxa"/>
          </w:tblCellMar>
        </w:tblPrEx>
        <w:trPr>
          <w:trHeight w:val="270" w:hRule="atLeast"/>
        </w:trPr>
        <w:tc>
          <w:tcPr>
            <w:tcW w:w="45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6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754" w:type="dxa"/>
            <w:gridSpan w:val="3"/>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c>
          <w:tcPr>
            <w:tcW w:w="224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586" w:type="dxa"/>
            <w:gridSpan w:val="6"/>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234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419"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0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62"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20" w:hRule="atLeast"/>
        </w:trPr>
        <w:tc>
          <w:tcPr>
            <w:tcW w:w="45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6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分层指标</w:t>
            </w: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一级指标</w:t>
            </w:r>
          </w:p>
        </w:tc>
        <w:tc>
          <w:tcPr>
            <w:tcW w:w="5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二级指标</w:t>
            </w:r>
          </w:p>
        </w:tc>
        <w:tc>
          <w:tcPr>
            <w:tcW w:w="224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方法归类</w:t>
            </w:r>
          </w:p>
        </w:tc>
        <w:tc>
          <w:tcPr>
            <w:tcW w:w="48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计算公式</w:t>
            </w:r>
          </w:p>
        </w:tc>
        <w:tc>
          <w:tcPr>
            <w:tcW w:w="234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业务处室自评</w:t>
            </w: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统筹考评</w:t>
            </w:r>
          </w:p>
        </w:tc>
        <w:tc>
          <w:tcPr>
            <w:tcW w:w="80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62"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90" w:hRule="atLeast"/>
        </w:trPr>
        <w:tc>
          <w:tcPr>
            <w:tcW w:w="450"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646"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224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0.00%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30.00%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60.00%</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80.00%</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100.00%</w:t>
            </w:r>
          </w:p>
        </w:tc>
        <w:tc>
          <w:tcPr>
            <w:tcW w:w="234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0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62"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080" w:hRule="atLeast"/>
        </w:trPr>
        <w:tc>
          <w:tcPr>
            <w:tcW w:w="4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通用指标</w:t>
            </w:r>
          </w:p>
        </w:tc>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项目决策</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制度完备</w:t>
            </w:r>
          </w:p>
        </w:tc>
        <w:tc>
          <w:tcPr>
            <w:tcW w:w="2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项目指导意见、管理办法、实施细则等管理制度是否完善，是否存在脱离实际、缺陷、漏洞导致执行偏离预期</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48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发现一处扣3分，直至扣完</w:t>
            </w:r>
          </w:p>
        </w:tc>
        <w:tc>
          <w:tcPr>
            <w:tcW w:w="2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主要查看项目的相关管理制度机制是否健全完善，在项目执行过程中，是否存在管理制度有悖于实际的情况，是否存在难以操作、无法落地、执行不畅的情况，是否存在不能满足实际需求，未及时动态调整的情况</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762"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100" w:hRule="atLeast"/>
        </w:trPr>
        <w:tc>
          <w:tcPr>
            <w:tcW w:w="4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使用合规</w:t>
            </w:r>
          </w:p>
        </w:tc>
        <w:tc>
          <w:tcPr>
            <w:tcW w:w="2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项目资金使用是否符合相关的财务管理制度规定</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48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发现一处扣2分，直至扣完</w:t>
            </w:r>
          </w:p>
        </w:tc>
        <w:tc>
          <w:tcPr>
            <w:tcW w:w="2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项目资金是否符合国家财经法规和财务管理制度及有关专项资金管理办法规定；资金支付是否有完整的审批程序和手续；是否符合项目预算批复或合同规定用途；是否存在截留、挤占、挪用、虚列支出等情况</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62"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1350" w:hRule="atLeast"/>
        </w:trPr>
        <w:tc>
          <w:tcPr>
            <w:tcW w:w="4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资金使用率</w:t>
            </w:r>
          </w:p>
        </w:tc>
        <w:tc>
          <w:tcPr>
            <w:tcW w:w="2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项目资金支付使用情况</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8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指标得分=资金实际使用金额/项目预算资金金额×100%*指标分值</w:t>
            </w:r>
          </w:p>
        </w:tc>
        <w:tc>
          <w:tcPr>
            <w:tcW w:w="2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主要查看财政资金实际支付使用，是否存在因制度机制、操作流程、管理疏漏、数据缺失等导致的资金结余，闲置浪费的情况</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762"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预算执行率100%</w:t>
            </w:r>
          </w:p>
        </w:tc>
      </w:tr>
      <w:tr>
        <w:tblPrEx>
          <w:shd w:val="clear" w:color="auto" w:fill="auto"/>
          <w:tblCellMar>
            <w:top w:w="0" w:type="dxa"/>
            <w:left w:w="108" w:type="dxa"/>
            <w:bottom w:w="0" w:type="dxa"/>
            <w:right w:w="108" w:type="dxa"/>
          </w:tblCellMar>
        </w:tblPrEx>
        <w:trPr>
          <w:trHeight w:val="960" w:hRule="atLeast"/>
        </w:trPr>
        <w:tc>
          <w:tcPr>
            <w:tcW w:w="4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完成结果</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目标完成</w:t>
            </w:r>
          </w:p>
        </w:tc>
        <w:tc>
          <w:tcPr>
            <w:tcW w:w="2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项目实施后是否完成预期目标</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8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指标得分=实际完成任务量/绩效目标设定任务量×100%*指标分值  </w:t>
            </w:r>
          </w:p>
        </w:tc>
        <w:tc>
          <w:tcPr>
            <w:tcW w:w="2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主要查看项目实施后产出数量指标完成情况。</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w:t>
            </w:r>
          </w:p>
        </w:tc>
        <w:tc>
          <w:tcPr>
            <w:tcW w:w="762"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完成80%</w:t>
            </w:r>
          </w:p>
        </w:tc>
      </w:tr>
      <w:tr>
        <w:tblPrEx>
          <w:shd w:val="clear" w:color="auto" w:fill="auto"/>
          <w:tblCellMar>
            <w:top w:w="0" w:type="dxa"/>
            <w:left w:w="108" w:type="dxa"/>
            <w:bottom w:w="0" w:type="dxa"/>
            <w:right w:w="108" w:type="dxa"/>
          </w:tblCellMar>
        </w:tblPrEx>
        <w:trPr>
          <w:trHeight w:val="820" w:hRule="atLeast"/>
        </w:trPr>
        <w:tc>
          <w:tcPr>
            <w:tcW w:w="4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违规记录</w:t>
            </w:r>
          </w:p>
        </w:tc>
        <w:tc>
          <w:tcPr>
            <w:tcW w:w="2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项目管理是否合规</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不合规</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3处及以上不合规</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2处不合规</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1处不合规</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合规</w:t>
            </w:r>
          </w:p>
        </w:tc>
        <w:tc>
          <w:tcPr>
            <w:tcW w:w="2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根据审计监督、财政检查结果反映项目管理是否合规</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62"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1460" w:hRule="atLeast"/>
        </w:trPr>
        <w:tc>
          <w:tcPr>
            <w:tcW w:w="4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项目效果</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w:t>
            </w:r>
          </w:p>
        </w:tc>
        <w:tc>
          <w:tcPr>
            <w:tcW w:w="2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相关群体满意度调查情况</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8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根据实际满意度与满意度标准值的比率计算指标得分</w:t>
            </w:r>
          </w:p>
        </w:tc>
        <w:tc>
          <w:tcPr>
            <w:tcW w:w="2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主要考察项目相关方在政策实施过程中的满意值，通过不满意情况汇总分析政策在顶层设计、制度构建、管理实施及成效各环节的情况</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14.25</w:t>
            </w:r>
          </w:p>
        </w:tc>
        <w:tc>
          <w:tcPr>
            <w:tcW w:w="762"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满意度95%</w:t>
            </w:r>
          </w:p>
        </w:tc>
      </w:tr>
      <w:tr>
        <w:tblPrEx>
          <w:tblCellMar>
            <w:top w:w="0" w:type="dxa"/>
            <w:left w:w="108" w:type="dxa"/>
            <w:bottom w:w="0" w:type="dxa"/>
            <w:right w:w="108" w:type="dxa"/>
          </w:tblCellMar>
        </w:tblPrEx>
        <w:trPr>
          <w:trHeight w:val="1800" w:hRule="atLeast"/>
        </w:trPr>
        <w:tc>
          <w:tcPr>
            <w:tcW w:w="450"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服务质量提升</w:t>
            </w:r>
          </w:p>
        </w:tc>
        <w:tc>
          <w:tcPr>
            <w:tcW w:w="22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反映服务质量情况</w:t>
            </w:r>
          </w:p>
        </w:tc>
        <w:tc>
          <w:tcPr>
            <w:tcW w:w="7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9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差</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较差</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一般</w:t>
            </w:r>
          </w:p>
        </w:tc>
        <w:tc>
          <w:tcPr>
            <w:tcW w:w="9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较好</w:t>
            </w:r>
          </w:p>
        </w:tc>
        <w:tc>
          <w:tcPr>
            <w:tcW w:w="10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好</w:t>
            </w:r>
          </w:p>
        </w:tc>
        <w:tc>
          <w:tcPr>
            <w:tcW w:w="2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保证省电子政务内网稳定运行，保证省网络中心所有应用系统稳定运行，对办公厅应用系统数据管理维护出现问题及时排查解决，不断的提高网络运行速度及质量。</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62"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CellMar>
            <w:top w:w="0" w:type="dxa"/>
            <w:left w:w="108" w:type="dxa"/>
            <w:bottom w:w="0" w:type="dxa"/>
            <w:right w:w="108" w:type="dxa"/>
          </w:tblCellMar>
        </w:tblPrEx>
        <w:trPr>
          <w:trHeight w:val="540" w:hRule="atLeast"/>
        </w:trPr>
        <w:tc>
          <w:tcPr>
            <w:tcW w:w="450"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646"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89"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7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8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244"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33"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64"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42"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42"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42"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063"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34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19"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6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0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96.25</w:t>
            </w:r>
          </w:p>
        </w:tc>
        <w:tc>
          <w:tcPr>
            <w:tcW w:w="762"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bl>
    <w:p>
      <w:pPr>
        <w:snapToGrid w:val="0"/>
        <w:spacing w:line="560" w:lineRule="exact"/>
        <w:rPr>
          <w:rFonts w:hint="eastAsia" w:ascii="仿宋" w:hAnsi="仿宋" w:eastAsia="仿宋" w:cs="仿宋"/>
          <w:b/>
          <w:bCs/>
          <w:sz w:val="32"/>
          <w:szCs w:val="32"/>
          <w:lang w:eastAsia="zh-CN"/>
        </w:rPr>
      </w:pPr>
    </w:p>
    <w:p>
      <w:pPr>
        <w:snapToGrid w:val="0"/>
        <w:spacing w:line="560" w:lineRule="exact"/>
        <w:rPr>
          <w:rFonts w:hint="eastAsia" w:ascii="仿宋" w:hAnsi="仿宋" w:eastAsia="仿宋" w:cs="仿宋"/>
          <w:b/>
          <w:bCs/>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sectPr>
          <w:pgSz w:w="16838" w:h="11906" w:orient="landscape"/>
          <w:pgMar w:top="1800" w:right="1440" w:bottom="1800" w:left="1440" w:header="851" w:footer="992" w:gutter="0"/>
          <w:cols w:space="425" w:num="1"/>
          <w:docGrid w:type="lines" w:linePitch="312" w:charSpace="0"/>
        </w:sectPr>
      </w:pPr>
    </w:p>
    <w:p>
      <w:pPr>
        <w:snapToGrid w:val="0"/>
        <w:spacing w:beforeAutospacing="0" w:line="600" w:lineRule="exact"/>
        <w:jc w:val="center"/>
        <w:rPr>
          <w:rFonts w:ascii="方正小标宋简体" w:hAnsi="宋体" w:eastAsia="方正小标宋简体"/>
          <w:b/>
          <w:sz w:val="44"/>
          <w:szCs w:val="44"/>
        </w:rPr>
      </w:pPr>
      <w:r>
        <w:rPr>
          <w:rFonts w:hint="eastAsia" w:ascii="方正小标宋简体" w:hAnsi="宋体" w:eastAsia="方正小标宋简体"/>
          <w:b/>
          <w:sz w:val="44"/>
          <w:szCs w:val="44"/>
          <w:lang w:eastAsia="zh-CN"/>
        </w:rPr>
        <w:t>单位</w:t>
      </w:r>
      <w:r>
        <w:rPr>
          <w:rFonts w:hint="eastAsia" w:ascii="方正小标宋简体" w:hAnsi="宋体" w:eastAsia="方正小标宋简体"/>
          <w:b/>
          <w:sz w:val="44"/>
          <w:szCs w:val="44"/>
        </w:rPr>
        <w:t>预算项目支出绩效自评报告</w:t>
      </w:r>
    </w:p>
    <w:p>
      <w:pPr>
        <w:tabs>
          <w:tab w:val="left" w:pos="3885"/>
        </w:tabs>
        <w:snapToGrid w:val="0"/>
        <w:spacing w:line="600" w:lineRule="exact"/>
        <w:jc w:val="center"/>
        <w:rPr>
          <w:rFonts w:ascii="方正楷体简体" w:hAnsi="宋体" w:eastAsia="方正楷体简体"/>
          <w:b/>
          <w:sz w:val="32"/>
          <w:szCs w:val="32"/>
        </w:rPr>
      </w:pPr>
      <w:r>
        <w:rPr>
          <w:rFonts w:hint="eastAsia" w:ascii="楷体" w:hAnsi="楷体" w:eastAsia="楷体" w:cs="楷体"/>
          <w:b/>
          <w:sz w:val="32"/>
          <w:szCs w:val="32"/>
        </w:rPr>
        <w:t>（</w:t>
      </w:r>
      <w:r>
        <w:rPr>
          <w:rFonts w:hint="eastAsia" w:ascii="楷体" w:hAnsi="楷体" w:eastAsia="楷体" w:cs="楷体"/>
          <w:b/>
          <w:sz w:val="32"/>
          <w:szCs w:val="32"/>
          <w:lang w:eastAsia="zh-CN"/>
        </w:rPr>
        <w:t>设备购置</w:t>
      </w:r>
      <w:r>
        <w:rPr>
          <w:rFonts w:hint="eastAsia" w:ascii="楷体" w:hAnsi="楷体" w:eastAsia="楷体" w:cs="楷体"/>
          <w:b/>
          <w:sz w:val="32"/>
          <w:szCs w:val="32"/>
        </w:rPr>
        <w:t>经费）</w:t>
      </w:r>
    </w:p>
    <w:p>
      <w:pPr>
        <w:numPr>
          <w:ilvl w:val="0"/>
          <w:numId w:val="0"/>
        </w:numPr>
        <w:tabs>
          <w:tab w:val="left" w:pos="3885"/>
        </w:tabs>
        <w:snapToGrid w:val="0"/>
        <w:spacing w:line="56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lang w:eastAsia="zh-CN"/>
        </w:rPr>
        <w:t>一、</w:t>
      </w:r>
      <w:r>
        <w:rPr>
          <w:rFonts w:hint="eastAsia" w:ascii="黑体" w:hAnsi="黑体" w:eastAsia="黑体" w:cs="黑体"/>
          <w:b/>
          <w:bCs/>
          <w:sz w:val="32"/>
          <w:szCs w:val="32"/>
        </w:rPr>
        <w:t>基本情况</w:t>
      </w:r>
    </w:p>
    <w:p>
      <w:pPr>
        <w:pStyle w:val="24"/>
        <w:numPr>
          <w:ilvl w:val="0"/>
          <w:numId w:val="0"/>
        </w:numPr>
        <w:tabs>
          <w:tab w:val="left" w:pos="3885"/>
        </w:tabs>
        <w:snapToGrid w:val="0"/>
        <w:spacing w:line="560" w:lineRule="exact"/>
        <w:ind w:left="640" w:leftChars="0"/>
        <w:jc w:val="left"/>
        <w:rPr>
          <w:rFonts w:hint="eastAsia" w:ascii="楷体" w:hAnsi="楷体" w:eastAsia="楷体" w:cs="楷体"/>
          <w:b/>
          <w:sz w:val="32"/>
          <w:szCs w:val="32"/>
        </w:rPr>
      </w:pPr>
      <w:r>
        <w:rPr>
          <w:rFonts w:hint="eastAsia" w:ascii="楷体" w:hAnsi="楷体" w:eastAsia="楷体" w:cs="楷体"/>
          <w:b/>
          <w:sz w:val="32"/>
          <w:szCs w:val="32"/>
          <w:lang w:eastAsia="zh-CN"/>
        </w:rPr>
        <w:t>（一）</w:t>
      </w:r>
      <w:r>
        <w:rPr>
          <w:rFonts w:hint="eastAsia" w:ascii="楷体" w:hAnsi="楷体" w:eastAsia="楷体" w:cs="楷体"/>
          <w:b/>
          <w:sz w:val="32"/>
          <w:szCs w:val="32"/>
        </w:rPr>
        <w:t>项目概况</w:t>
      </w:r>
    </w:p>
    <w:p>
      <w:pPr>
        <w:tabs>
          <w:tab w:val="left" w:pos="3885"/>
        </w:tabs>
        <w:snapToGrid w:val="0"/>
        <w:spacing w:line="560" w:lineRule="exact"/>
        <w:ind w:firstLine="643" w:firstLineChars="200"/>
        <w:jc w:val="both"/>
        <w:rPr>
          <w:rFonts w:hint="eastAsia" w:ascii="仿宋" w:hAnsi="仿宋" w:eastAsia="仿宋" w:cs="仿宋"/>
          <w:b/>
          <w:bCs/>
          <w:sz w:val="32"/>
          <w:szCs w:val="32"/>
        </w:rPr>
      </w:pPr>
      <w:r>
        <w:rPr>
          <w:rFonts w:hint="eastAsia" w:ascii="仿宋" w:hAnsi="仿宋" w:eastAsia="仿宋" w:cs="仿宋"/>
          <w:b/>
          <w:bCs/>
          <w:sz w:val="32"/>
          <w:szCs w:val="32"/>
          <w:lang w:eastAsia="zh-CN"/>
        </w:rPr>
        <w:t>该项目主要围绕省委办公厅整体运行需求，按照政府采购相关要求，科学高效保障各局室处工作运转，高质量完成年度物资采购任务</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rPr>
      </w:pPr>
      <w:r>
        <w:rPr>
          <w:rFonts w:hint="eastAsia" w:ascii="楷体" w:hAnsi="楷体" w:eastAsia="楷体" w:cs="楷体"/>
          <w:b/>
          <w:sz w:val="32"/>
          <w:szCs w:val="32"/>
        </w:rPr>
        <w:t>（二）项目实施情况</w:t>
      </w:r>
    </w:p>
    <w:p>
      <w:pPr>
        <w:spacing w:line="560" w:lineRule="exact"/>
        <w:ind w:firstLine="660"/>
        <w:rPr>
          <w:rFonts w:hint="eastAsia" w:ascii="仿宋" w:hAnsi="仿宋" w:eastAsia="仿宋" w:cs="仿宋"/>
          <w:b/>
          <w:bCs/>
          <w:sz w:val="32"/>
          <w:szCs w:val="32"/>
        </w:rPr>
      </w:pPr>
      <w:r>
        <w:rPr>
          <w:rFonts w:hint="eastAsia" w:ascii="仿宋" w:hAnsi="仿宋" w:eastAsia="仿宋" w:cs="仿宋"/>
          <w:b/>
          <w:bCs/>
          <w:sz w:val="32"/>
          <w:szCs w:val="32"/>
          <w:lang w:val="en-US" w:eastAsia="zh-CN"/>
        </w:rPr>
        <w:t>2020年项目实施单位在新冠疫情特殊条件下仍然圆满完成全年目标任务，采购项目完成率达到95%，采购物资合格率达到100%，全年未采购不符合环保要求的产品，物资采购工作得到了全厅干部职工的认可，满意度为98%</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lang w:eastAsia="zh-CN"/>
        </w:rPr>
      </w:pPr>
      <w:r>
        <w:rPr>
          <w:rFonts w:hint="eastAsia" w:ascii="楷体" w:hAnsi="楷体" w:eastAsia="楷体" w:cs="楷体"/>
          <w:b/>
          <w:sz w:val="32"/>
          <w:szCs w:val="32"/>
          <w:lang w:eastAsia="zh-CN"/>
        </w:rPr>
        <w:t>（三）资金使用及绩效情况</w:t>
      </w:r>
    </w:p>
    <w:p>
      <w:pPr>
        <w:overflowPunct w:val="0"/>
        <w:spacing w:line="560" w:lineRule="exact"/>
        <w:ind w:firstLine="643" w:firstLineChars="200"/>
        <w:rPr>
          <w:rFonts w:hint="eastAsia" w:ascii="仿宋" w:hAnsi="仿宋" w:eastAsia="仿宋" w:cs="仿宋"/>
          <w:b/>
          <w:bCs/>
          <w:spacing w:val="-2"/>
          <w:sz w:val="32"/>
          <w:szCs w:val="32"/>
        </w:rPr>
      </w:pPr>
      <w:r>
        <w:rPr>
          <w:rFonts w:hint="eastAsia" w:ascii="仿宋" w:hAnsi="仿宋" w:eastAsia="仿宋" w:cs="仿宋"/>
          <w:b/>
          <w:bCs/>
          <w:sz w:val="32"/>
          <w:szCs w:val="32"/>
        </w:rPr>
        <w:t>2020年该项</w:t>
      </w:r>
      <w:r>
        <w:rPr>
          <w:rFonts w:hint="eastAsia" w:ascii="仿宋" w:hAnsi="仿宋" w:eastAsia="仿宋" w:cs="仿宋"/>
          <w:b/>
          <w:bCs/>
          <w:sz w:val="32"/>
          <w:szCs w:val="32"/>
          <w:lang w:eastAsia="zh-CN"/>
        </w:rPr>
        <w:t>目</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预算为</w:t>
      </w:r>
      <w:r>
        <w:rPr>
          <w:rFonts w:hint="eastAsia" w:ascii="仿宋" w:hAnsi="仿宋" w:eastAsia="仿宋" w:cs="仿宋"/>
          <w:b/>
          <w:bCs/>
          <w:sz w:val="32"/>
          <w:szCs w:val="32"/>
          <w:lang w:val="en-US" w:eastAsia="zh-CN"/>
        </w:rPr>
        <w:t>354.05万元，实际</w:t>
      </w:r>
      <w:r>
        <w:rPr>
          <w:rFonts w:hint="eastAsia" w:ascii="仿宋" w:hAnsi="仿宋" w:eastAsia="仿宋" w:cs="仿宋"/>
          <w:b/>
          <w:bCs/>
          <w:sz w:val="32"/>
          <w:szCs w:val="32"/>
        </w:rPr>
        <w:t>支出</w:t>
      </w:r>
      <w:r>
        <w:rPr>
          <w:rFonts w:hint="eastAsia" w:ascii="仿宋" w:hAnsi="仿宋" w:eastAsia="仿宋" w:cs="仿宋"/>
          <w:b/>
          <w:bCs/>
          <w:sz w:val="32"/>
          <w:szCs w:val="32"/>
          <w:lang w:val="en-US" w:eastAsia="zh-CN"/>
        </w:rPr>
        <w:t>285.08</w:t>
      </w:r>
      <w:r>
        <w:rPr>
          <w:rFonts w:hint="eastAsia" w:ascii="仿宋" w:hAnsi="仿宋" w:eastAsia="仿宋" w:cs="仿宋"/>
          <w:b/>
          <w:bCs/>
          <w:sz w:val="32"/>
          <w:szCs w:val="32"/>
        </w:rPr>
        <w:t>万元，预算执行率</w:t>
      </w:r>
      <w:r>
        <w:rPr>
          <w:rFonts w:hint="eastAsia" w:ascii="仿宋" w:hAnsi="仿宋" w:eastAsia="仿宋" w:cs="仿宋"/>
          <w:b/>
          <w:bCs/>
          <w:sz w:val="32"/>
          <w:szCs w:val="32"/>
          <w:lang w:eastAsia="zh-CN"/>
        </w:rPr>
        <w:t>为</w:t>
      </w:r>
      <w:r>
        <w:rPr>
          <w:rFonts w:hint="eastAsia" w:ascii="仿宋" w:hAnsi="仿宋" w:eastAsia="仿宋" w:cs="仿宋"/>
          <w:b/>
          <w:bCs/>
          <w:sz w:val="32"/>
          <w:szCs w:val="32"/>
          <w:lang w:val="en-US" w:eastAsia="zh-CN"/>
        </w:rPr>
        <w:t>80.52</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二、评价工作开展情况</w:t>
      </w:r>
    </w:p>
    <w:p>
      <w:pPr>
        <w:snapToGrid w:val="0"/>
        <w:spacing w:line="560" w:lineRule="exact"/>
        <w:ind w:firstLine="643" w:firstLineChars="200"/>
        <w:rPr>
          <w:rFonts w:ascii="仿宋_GB2312" w:hAnsi="仿宋_GB2312" w:cs="仿宋_GB2312"/>
          <w:sz w:val="32"/>
          <w:szCs w:val="32"/>
        </w:rPr>
      </w:pPr>
      <w:r>
        <w:rPr>
          <w:rFonts w:hint="eastAsia" w:ascii="仿宋" w:hAnsi="仿宋" w:eastAsia="仿宋" w:cs="仿宋"/>
          <w:b/>
          <w:bCs/>
          <w:sz w:val="32"/>
          <w:szCs w:val="32"/>
          <w:lang w:eastAsia="zh-CN"/>
        </w:rPr>
        <w:t>设备购置</w:t>
      </w:r>
      <w:r>
        <w:rPr>
          <w:rFonts w:hint="eastAsia" w:ascii="仿宋" w:hAnsi="仿宋" w:eastAsia="仿宋" w:cs="仿宋"/>
          <w:b/>
          <w:bCs/>
          <w:sz w:val="32"/>
          <w:szCs w:val="32"/>
        </w:rPr>
        <w:t>经费由</w:t>
      </w:r>
      <w:r>
        <w:rPr>
          <w:rFonts w:hint="eastAsia" w:ascii="仿宋" w:hAnsi="仿宋" w:eastAsia="仿宋" w:cs="仿宋"/>
          <w:b/>
          <w:bCs/>
          <w:sz w:val="32"/>
          <w:szCs w:val="32"/>
          <w:lang w:eastAsia="zh-CN"/>
        </w:rPr>
        <w:t>省委办公厅财务处和项目实施单位共同</w:t>
      </w:r>
      <w:r>
        <w:rPr>
          <w:rFonts w:hint="eastAsia" w:ascii="仿宋" w:hAnsi="仿宋" w:eastAsia="仿宋" w:cs="仿宋"/>
          <w:b/>
          <w:bCs/>
          <w:sz w:val="32"/>
          <w:szCs w:val="32"/>
        </w:rPr>
        <w:t>开展绩效评价工作。</w:t>
      </w:r>
      <w:r>
        <w:rPr>
          <w:rFonts w:hint="eastAsia" w:ascii="仿宋" w:hAnsi="仿宋" w:eastAsia="仿宋" w:cs="仿宋"/>
          <w:b/>
          <w:bCs/>
          <w:sz w:val="32"/>
          <w:szCs w:val="32"/>
          <w:lang w:eastAsia="zh-CN"/>
        </w:rPr>
        <w:t>按照项目支出</w:t>
      </w:r>
      <w:r>
        <w:rPr>
          <w:rFonts w:hint="eastAsia" w:ascii="仿宋" w:hAnsi="仿宋" w:eastAsia="仿宋" w:cs="仿宋"/>
          <w:b/>
          <w:bCs/>
          <w:sz w:val="32"/>
          <w:szCs w:val="32"/>
        </w:rPr>
        <w:t>绩效评价</w:t>
      </w:r>
      <w:r>
        <w:rPr>
          <w:rFonts w:hint="eastAsia" w:ascii="仿宋" w:hAnsi="仿宋" w:eastAsia="仿宋" w:cs="仿宋"/>
          <w:b/>
          <w:bCs/>
          <w:sz w:val="32"/>
          <w:szCs w:val="32"/>
          <w:lang w:eastAsia="zh-CN"/>
        </w:rPr>
        <w:t>办法</w:t>
      </w:r>
      <w:r>
        <w:rPr>
          <w:rFonts w:hint="eastAsia" w:ascii="仿宋" w:hAnsi="仿宋" w:eastAsia="仿宋" w:cs="仿宋"/>
          <w:b/>
          <w:bCs/>
          <w:sz w:val="32"/>
          <w:szCs w:val="32"/>
        </w:rPr>
        <w:t>，结合</w:t>
      </w:r>
      <w:r>
        <w:rPr>
          <w:rFonts w:hint="eastAsia" w:ascii="仿宋" w:hAnsi="仿宋" w:eastAsia="仿宋" w:cs="仿宋"/>
          <w:b/>
          <w:bCs/>
          <w:sz w:val="32"/>
          <w:szCs w:val="32"/>
          <w:lang w:eastAsia="zh-CN"/>
        </w:rPr>
        <w:t>设备购置</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项目实际，梳理、明确项目支出绩效评分体系。在此基础上，依据</w:t>
      </w:r>
      <w:r>
        <w:rPr>
          <w:rFonts w:hint="eastAsia" w:ascii="仿宋" w:hAnsi="仿宋" w:eastAsia="仿宋" w:cs="仿宋"/>
          <w:b/>
          <w:bCs/>
          <w:sz w:val="32"/>
          <w:szCs w:val="32"/>
          <w:lang w:val="en-US" w:eastAsia="zh-CN"/>
        </w:rPr>
        <w:t>2020年度设备购置经费使用情况和年度绩效目标完成情况，对项目支出绩效进行综合评价</w:t>
      </w:r>
      <w:r>
        <w:rPr>
          <w:rFonts w:hint="eastAsia" w:ascii="仿宋" w:hAnsi="仿宋" w:eastAsia="仿宋" w:cs="仿宋"/>
          <w:b/>
          <w:bCs/>
          <w:sz w:val="32"/>
          <w:szCs w:val="32"/>
        </w:rPr>
        <w:t>。评价方法主要采用</w:t>
      </w:r>
      <w:r>
        <w:rPr>
          <w:rFonts w:hint="eastAsia" w:ascii="仿宋" w:hAnsi="仿宋" w:eastAsia="仿宋" w:cs="仿宋"/>
          <w:b/>
          <w:bCs/>
          <w:sz w:val="32"/>
          <w:szCs w:val="32"/>
          <w:lang w:eastAsia="zh-CN"/>
        </w:rPr>
        <w:t>比率分值法、分级评分法和缺（错）项扣分法</w:t>
      </w:r>
      <w:r>
        <w:rPr>
          <w:rFonts w:hint="eastAsia" w:ascii="仿宋" w:hAnsi="仿宋" w:eastAsia="仿宋" w:cs="仿宋"/>
          <w:b/>
          <w:bCs/>
          <w:sz w:val="32"/>
          <w:szCs w:val="32"/>
        </w:rPr>
        <w:t>，将年初绩效目标</w:t>
      </w:r>
      <w:r>
        <w:rPr>
          <w:rFonts w:hint="eastAsia" w:ascii="仿宋" w:hAnsi="仿宋" w:eastAsia="仿宋" w:cs="仿宋"/>
          <w:b/>
          <w:bCs/>
          <w:sz w:val="32"/>
          <w:szCs w:val="32"/>
          <w:lang w:eastAsia="zh-CN"/>
        </w:rPr>
        <w:t>与</w:t>
      </w:r>
      <w:r>
        <w:rPr>
          <w:rFonts w:hint="eastAsia" w:ascii="仿宋" w:hAnsi="仿宋" w:eastAsia="仿宋" w:cs="仿宋"/>
          <w:b/>
          <w:bCs/>
          <w:sz w:val="32"/>
          <w:szCs w:val="32"/>
        </w:rPr>
        <w:t>项目实际</w:t>
      </w:r>
      <w:r>
        <w:rPr>
          <w:rFonts w:hint="eastAsia" w:ascii="仿宋" w:hAnsi="仿宋" w:eastAsia="仿宋" w:cs="仿宋"/>
          <w:b/>
          <w:bCs/>
          <w:sz w:val="32"/>
          <w:szCs w:val="32"/>
          <w:lang w:eastAsia="zh-CN"/>
        </w:rPr>
        <w:t>完成情况</w:t>
      </w:r>
      <w:r>
        <w:rPr>
          <w:rFonts w:hint="eastAsia" w:ascii="仿宋" w:hAnsi="仿宋" w:eastAsia="仿宋" w:cs="仿宋"/>
          <w:b/>
          <w:bCs/>
          <w:sz w:val="32"/>
          <w:szCs w:val="32"/>
        </w:rPr>
        <w:t>进行比较，将项目</w:t>
      </w:r>
      <w:r>
        <w:rPr>
          <w:rFonts w:hint="eastAsia" w:ascii="仿宋" w:hAnsi="仿宋" w:eastAsia="仿宋" w:cs="仿宋"/>
          <w:b/>
          <w:bCs/>
          <w:sz w:val="32"/>
          <w:szCs w:val="32"/>
          <w:lang w:eastAsia="zh-CN"/>
        </w:rPr>
        <w:t>资金使用情况与政府采购开展情况、服务对象满意度</w:t>
      </w:r>
      <w:r>
        <w:rPr>
          <w:rFonts w:hint="eastAsia" w:ascii="仿宋" w:hAnsi="仿宋" w:eastAsia="仿宋" w:cs="仿宋"/>
          <w:b/>
          <w:bCs/>
          <w:sz w:val="32"/>
          <w:szCs w:val="32"/>
        </w:rPr>
        <w:t>进行配比。评价工作遵循相关性、重要性、系统性原则，</w:t>
      </w:r>
      <w:r>
        <w:rPr>
          <w:rFonts w:hint="eastAsia" w:ascii="仿宋" w:hAnsi="仿宋" w:eastAsia="仿宋" w:cs="仿宋"/>
          <w:b/>
          <w:bCs/>
          <w:sz w:val="32"/>
          <w:szCs w:val="32"/>
          <w:lang w:eastAsia="zh-CN"/>
        </w:rPr>
        <w:t>力求全面评价反映该项目总体绩效情况</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三、综合评价结论</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根据</w:t>
      </w:r>
      <w:r>
        <w:rPr>
          <w:rFonts w:hint="eastAsia" w:ascii="仿宋" w:hAnsi="仿宋" w:eastAsia="仿宋" w:cs="仿宋"/>
          <w:b/>
          <w:bCs/>
          <w:sz w:val="32"/>
          <w:szCs w:val="32"/>
          <w:lang w:eastAsia="zh-CN"/>
        </w:rPr>
        <w:t>设备购置经费支出绩效</w:t>
      </w:r>
      <w:r>
        <w:rPr>
          <w:rFonts w:hint="eastAsia" w:ascii="仿宋" w:hAnsi="仿宋" w:eastAsia="仿宋" w:cs="仿宋"/>
          <w:b/>
          <w:bCs/>
          <w:sz w:val="32"/>
          <w:szCs w:val="32"/>
        </w:rPr>
        <w:t>评价</w:t>
      </w:r>
      <w:r>
        <w:rPr>
          <w:rFonts w:hint="eastAsia" w:ascii="仿宋" w:hAnsi="仿宋" w:eastAsia="仿宋" w:cs="仿宋"/>
          <w:b/>
          <w:bCs/>
          <w:sz w:val="32"/>
          <w:szCs w:val="32"/>
          <w:lang w:eastAsia="zh-CN"/>
        </w:rPr>
        <w:t>指标体系</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2020年</w:t>
      </w:r>
      <w:r>
        <w:rPr>
          <w:rFonts w:hint="eastAsia" w:ascii="仿宋" w:hAnsi="仿宋" w:eastAsia="仿宋" w:cs="仿宋"/>
          <w:b/>
          <w:bCs/>
          <w:sz w:val="32"/>
          <w:szCs w:val="32"/>
          <w:lang w:eastAsia="zh-CN"/>
        </w:rPr>
        <w:t>设备购置</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支出绩效自评得分为</w:t>
      </w:r>
      <w:r>
        <w:rPr>
          <w:rFonts w:hint="eastAsia" w:ascii="仿宋" w:hAnsi="仿宋" w:eastAsia="仿宋" w:cs="仿宋"/>
          <w:b/>
          <w:bCs/>
          <w:sz w:val="32"/>
          <w:szCs w:val="32"/>
          <w:lang w:val="en-US" w:eastAsia="zh-CN"/>
        </w:rPr>
        <w:t>96.78分</w:t>
      </w:r>
      <w:r>
        <w:rPr>
          <w:rFonts w:hint="eastAsia" w:ascii="仿宋" w:hAnsi="仿宋" w:eastAsia="仿宋" w:cs="仿宋"/>
          <w:b/>
          <w:bCs/>
          <w:sz w:val="32"/>
          <w:szCs w:val="32"/>
        </w:rPr>
        <w:t>，</w:t>
      </w:r>
      <w:r>
        <w:rPr>
          <w:rFonts w:hint="eastAsia" w:ascii="仿宋" w:hAnsi="仿宋" w:eastAsia="仿宋" w:cs="仿宋"/>
          <w:b/>
          <w:bCs/>
          <w:sz w:val="32"/>
          <w:szCs w:val="32"/>
          <w:lang w:eastAsia="zh-CN"/>
        </w:rPr>
        <w:t>综合评价为优秀，</w:t>
      </w:r>
      <w:r>
        <w:rPr>
          <w:rFonts w:hint="eastAsia" w:ascii="仿宋" w:hAnsi="仿宋" w:eastAsia="仿宋" w:cs="仿宋"/>
          <w:b/>
          <w:bCs/>
          <w:sz w:val="32"/>
          <w:szCs w:val="32"/>
          <w:lang w:val="en-US" w:eastAsia="zh-CN"/>
        </w:rPr>
        <w:t>详见下表</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四、绩效评价分析</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（一）项目决策情况</w:t>
      </w:r>
    </w:p>
    <w:p>
      <w:pPr>
        <w:snapToGrid w:val="0"/>
        <w:spacing w:line="560" w:lineRule="exact"/>
        <w:ind w:firstLine="643" w:firstLineChars="200"/>
        <w:rPr>
          <w:rFonts w:ascii="楷体_GB2312" w:hAnsi="宋体" w:eastAsia="楷体_GB2312"/>
          <w:b/>
          <w:sz w:val="32"/>
          <w:szCs w:val="32"/>
        </w:rPr>
      </w:pPr>
      <w:r>
        <w:rPr>
          <w:rFonts w:hint="eastAsia" w:ascii="仿宋" w:hAnsi="仿宋" w:eastAsia="仿宋" w:cs="仿宋"/>
          <w:b/>
          <w:bCs/>
          <w:sz w:val="32"/>
          <w:szCs w:val="32"/>
          <w:lang w:eastAsia="zh-CN"/>
        </w:rPr>
        <w:t>按照办公厅年度重点工作安排，项目实施单位在充分调查研究、听取各需求单位意见建议的基础上，结合存量资产情况，细化采购需求和年度采购计划。财务处将该项目纳入年度部门预算草案编制，经厅务会审议后报财政厅纳入省级部门预算编制报批。</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（二）项目管理情况</w:t>
      </w:r>
    </w:p>
    <w:p>
      <w:pPr>
        <w:snapToGrid w:val="0"/>
        <w:spacing w:line="560" w:lineRule="exact"/>
        <w:ind w:firstLine="643" w:firstLineChars="200"/>
        <w:rPr>
          <w:rFonts w:hint="eastAsia" w:ascii="楷体_GB2312" w:hAnsi="宋体" w:eastAsia="仿宋"/>
          <w:b/>
          <w:sz w:val="32"/>
          <w:szCs w:val="32"/>
          <w:lang w:eastAsia="zh-CN"/>
        </w:rPr>
      </w:pPr>
      <w:r>
        <w:rPr>
          <w:rFonts w:hint="eastAsia" w:ascii="仿宋" w:hAnsi="仿宋" w:eastAsia="仿宋" w:cs="仿宋"/>
          <w:b/>
          <w:bCs/>
          <w:sz w:val="32"/>
          <w:szCs w:val="32"/>
          <w:lang w:eastAsia="zh-CN"/>
        </w:rPr>
        <w:t>项目实施单位严格按照政府采购相关法律法规推进项目执行，在项目执行过程中，未出现管理制度有悖于实际的情况，也未出现难以操作、无法落地、执行不畅的情况</w:t>
      </w:r>
      <w:r>
        <w:rPr>
          <w:rFonts w:hint="eastAsia" w:ascii="仿宋" w:hAnsi="仿宋" w:eastAsia="仿宋" w:cs="仿宋"/>
          <w:b/>
          <w:bCs/>
          <w:sz w:val="32"/>
          <w:szCs w:val="32"/>
        </w:rPr>
        <w:t>。</w:t>
      </w:r>
      <w:r>
        <w:rPr>
          <w:rFonts w:hint="eastAsia" w:ascii="仿宋" w:hAnsi="仿宋" w:eastAsia="仿宋" w:cs="仿宋"/>
          <w:b/>
          <w:bCs/>
          <w:sz w:val="32"/>
          <w:szCs w:val="32"/>
          <w:lang w:eastAsia="zh-CN"/>
        </w:rPr>
        <w:t>项目资金使用符合相关财务管理制度规定。</w:t>
      </w:r>
    </w:p>
    <w:p>
      <w:pPr>
        <w:snapToGrid w:val="0"/>
        <w:spacing w:line="560" w:lineRule="exact"/>
        <w:ind w:firstLine="643" w:firstLineChars="200"/>
        <w:rPr>
          <w:rFonts w:hint="eastAsia" w:ascii="楷体" w:hAnsi="楷体" w:eastAsia="楷体" w:cs="楷体"/>
          <w:b/>
          <w:sz w:val="32"/>
          <w:szCs w:val="32"/>
        </w:rPr>
      </w:pPr>
      <w:r>
        <w:rPr>
          <w:rFonts w:hint="eastAsia" w:ascii="楷体" w:hAnsi="楷体" w:eastAsia="楷体" w:cs="楷体"/>
          <w:b/>
          <w:sz w:val="32"/>
          <w:szCs w:val="32"/>
        </w:rPr>
        <w:t>（三）项目产出情况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项目实施单位</w:t>
      </w:r>
      <w:r>
        <w:rPr>
          <w:rFonts w:hint="eastAsia" w:ascii="仿宋" w:hAnsi="仿宋" w:eastAsia="仿宋" w:cs="仿宋"/>
          <w:b/>
          <w:bCs/>
          <w:sz w:val="32"/>
          <w:szCs w:val="32"/>
          <w:lang w:val="en-US" w:eastAsia="zh-CN"/>
        </w:rPr>
        <w:t>圆满完成全年目标任务，采购项目完成率达到95%，采购物资合格率达到100%，全年未采购不符合环保要求的产品，物资采购工作得到了全厅干部职工的认可，满意度为98%</w:t>
      </w:r>
      <w:r>
        <w:rPr>
          <w:rFonts w:hint="eastAsia" w:ascii="仿宋" w:hAnsi="仿宋" w:eastAsia="仿宋" w:cs="仿宋"/>
          <w:b/>
          <w:bCs/>
          <w:sz w:val="32"/>
          <w:szCs w:val="32"/>
        </w:rPr>
        <w:t>。</w:t>
      </w:r>
    </w:p>
    <w:p>
      <w:pPr>
        <w:snapToGrid w:val="0"/>
        <w:spacing w:line="560" w:lineRule="exact"/>
        <w:ind w:firstLine="643" w:firstLineChars="200"/>
        <w:rPr>
          <w:rFonts w:ascii="楷体_GB2312" w:hAnsi="宋体" w:eastAsia="楷体_GB2312"/>
          <w:b/>
          <w:sz w:val="32"/>
          <w:szCs w:val="32"/>
        </w:rPr>
      </w:pPr>
      <w:r>
        <w:rPr>
          <w:rFonts w:hint="eastAsia" w:ascii="楷体" w:hAnsi="楷体" w:eastAsia="楷体" w:cs="楷体"/>
          <w:b/>
          <w:sz w:val="32"/>
          <w:szCs w:val="32"/>
        </w:rPr>
        <w:t>（四）项目效益情况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在常态化疫情防控的背景下，项目实施单位严格按照相关法规制度，围绕办公厅工作需求，切实完成了物资采购相关工作，服务保障了办公厅高效运转</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五、存在主要问题</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受新冠疫情影响，部分政府采购项目实施较晚，项目资金在年末集中支付的现象较为明显。少量政府采购项目因疫情未实施，导致部分项目预算未执行</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六、相关措施</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43" w:firstLineChars="200"/>
        <w:textAlignment w:val="auto"/>
        <w:rPr>
          <w:rFonts w:hint="eastAsia" w:ascii="仿宋" w:hAnsi="仿宋" w:eastAsia="仿宋" w:cs="仿宋"/>
          <w:b/>
          <w:sz w:val="32"/>
          <w:szCs w:val="32"/>
          <w:lang w:eastAsia="zh-CN"/>
        </w:rPr>
      </w:pPr>
      <w:r>
        <w:rPr>
          <w:rFonts w:hint="eastAsia" w:ascii="仿宋" w:hAnsi="仿宋" w:eastAsia="仿宋" w:cs="仿宋"/>
          <w:b/>
          <w:bCs/>
          <w:sz w:val="32"/>
          <w:szCs w:val="32"/>
          <w:lang w:eastAsia="zh-CN"/>
        </w:rPr>
        <w:t>进一步加强项目实施计划的制定工作，科学合理安排项目实施进度，优化经费支付节奏</w:t>
      </w:r>
      <w:r>
        <w:rPr>
          <w:rFonts w:hint="eastAsia" w:ascii="仿宋" w:hAnsi="仿宋" w:eastAsia="仿宋" w:cs="仿宋"/>
          <w:b/>
          <w:bCs/>
          <w:sz w:val="32"/>
          <w:szCs w:val="32"/>
        </w:rPr>
        <w:t>。</w:t>
      </w:r>
      <w:r>
        <w:rPr>
          <w:rFonts w:hint="eastAsia" w:ascii="仿宋" w:hAnsi="仿宋" w:eastAsia="仿宋" w:cs="仿宋"/>
          <w:b/>
          <w:bCs/>
          <w:sz w:val="32"/>
          <w:szCs w:val="32"/>
          <w:lang w:eastAsia="zh-CN"/>
        </w:rPr>
        <w:t>强化预算绩效监控，对未执行的项目经费及时进行调整，提高预算执行率。</w:t>
      </w: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pPr>
    </w:p>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sectPr>
          <w:pgSz w:w="11906" w:h="16838"/>
          <w:pgMar w:top="1440" w:right="1800" w:bottom="1440" w:left="1800" w:header="851" w:footer="992" w:gutter="0"/>
          <w:cols w:space="425" w:num="1"/>
          <w:docGrid w:type="lines" w:linePitch="312" w:charSpace="0"/>
        </w:sectPr>
      </w:pPr>
    </w:p>
    <w:tbl>
      <w:tblPr>
        <w:tblStyle w:val="13"/>
        <w:tblW w:w="15934" w:type="dxa"/>
        <w:tblInd w:w="-890" w:type="dxa"/>
        <w:shd w:val="clear" w:color="auto" w:fill="auto"/>
        <w:tblLayout w:type="fixed"/>
        <w:tblCellMar>
          <w:top w:w="0" w:type="dxa"/>
          <w:left w:w="108" w:type="dxa"/>
          <w:bottom w:w="0" w:type="dxa"/>
          <w:right w:w="108" w:type="dxa"/>
        </w:tblCellMar>
      </w:tblPr>
      <w:tblGrid>
        <w:gridCol w:w="507"/>
        <w:gridCol w:w="554"/>
        <w:gridCol w:w="473"/>
        <w:gridCol w:w="508"/>
        <w:gridCol w:w="508"/>
        <w:gridCol w:w="1927"/>
        <w:gridCol w:w="900"/>
        <w:gridCol w:w="888"/>
        <w:gridCol w:w="969"/>
        <w:gridCol w:w="981"/>
        <w:gridCol w:w="981"/>
        <w:gridCol w:w="1131"/>
        <w:gridCol w:w="2803"/>
        <w:gridCol w:w="750"/>
        <w:gridCol w:w="520"/>
        <w:gridCol w:w="773"/>
        <w:gridCol w:w="761"/>
      </w:tblGrid>
      <w:tr>
        <w:tblPrEx>
          <w:shd w:val="clear" w:color="auto" w:fill="auto"/>
          <w:tblCellMar>
            <w:top w:w="0" w:type="dxa"/>
            <w:left w:w="108" w:type="dxa"/>
            <w:bottom w:w="0" w:type="dxa"/>
            <w:right w:w="108" w:type="dxa"/>
          </w:tblCellMar>
        </w:tblPrEx>
        <w:trPr>
          <w:trHeight w:val="690" w:hRule="atLeast"/>
        </w:trPr>
        <w:tc>
          <w:tcPr>
            <w:tcW w:w="15934" w:type="dxa"/>
            <w:gridSpan w:val="1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b/>
                <w:bCs/>
                <w:i w:val="0"/>
                <w:iCs w:val="0"/>
                <w:color w:val="000000"/>
                <w:sz w:val="40"/>
                <w:szCs w:val="40"/>
                <w:u w:val="none"/>
              </w:rPr>
            </w:pPr>
            <w:r>
              <w:rPr>
                <w:rFonts w:hint="eastAsia" w:ascii="方正小标宋简体" w:hAnsi="方正小标宋简体" w:eastAsia="方正小标宋简体" w:cs="方正小标宋简体"/>
                <w:b/>
                <w:bCs/>
                <w:i w:val="0"/>
                <w:iCs w:val="0"/>
                <w:color w:val="000000"/>
                <w:kern w:val="0"/>
                <w:sz w:val="40"/>
                <w:szCs w:val="40"/>
                <w:u w:val="none"/>
                <w:lang w:val="en-US" w:eastAsia="zh-CN" w:bidi="ar"/>
              </w:rPr>
              <w:t>省委办公厅设备购置经费支出绩效评分表</w:t>
            </w:r>
          </w:p>
        </w:tc>
      </w:tr>
      <w:tr>
        <w:tblPrEx>
          <w:shd w:val="clear" w:color="auto" w:fill="auto"/>
          <w:tblCellMar>
            <w:top w:w="0" w:type="dxa"/>
            <w:left w:w="108" w:type="dxa"/>
            <w:bottom w:w="0" w:type="dxa"/>
            <w:right w:w="108" w:type="dxa"/>
          </w:tblCellMar>
        </w:tblPrEx>
        <w:trPr>
          <w:trHeight w:val="225" w:hRule="atLeast"/>
        </w:trPr>
        <w:tc>
          <w:tcPr>
            <w:tcW w:w="507"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5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分值</w:t>
            </w:r>
          </w:p>
        </w:tc>
        <w:tc>
          <w:tcPr>
            <w:tcW w:w="1489" w:type="dxa"/>
            <w:gridSpan w:val="3"/>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分层分类指标</w:t>
            </w:r>
          </w:p>
        </w:tc>
        <w:tc>
          <w:tcPr>
            <w:tcW w:w="1927"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指标解释</w:t>
            </w:r>
          </w:p>
        </w:tc>
        <w:tc>
          <w:tcPr>
            <w:tcW w:w="5850" w:type="dxa"/>
            <w:gridSpan w:val="6"/>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评分方法</w:t>
            </w:r>
          </w:p>
        </w:tc>
        <w:tc>
          <w:tcPr>
            <w:tcW w:w="2803"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评价要点及说明</w:t>
            </w:r>
          </w:p>
        </w:tc>
        <w:tc>
          <w:tcPr>
            <w:tcW w:w="1270" w:type="dxa"/>
            <w:gridSpan w:val="2"/>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评价方式</w:t>
            </w:r>
          </w:p>
        </w:tc>
        <w:tc>
          <w:tcPr>
            <w:tcW w:w="773"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w:t>
            </w:r>
          </w:p>
        </w:tc>
        <w:tc>
          <w:tcPr>
            <w:tcW w:w="761"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tblPrEx>
          <w:shd w:val="clear" w:color="auto" w:fill="auto"/>
          <w:tblCellMar>
            <w:top w:w="0" w:type="dxa"/>
            <w:left w:w="108" w:type="dxa"/>
            <w:bottom w:w="0" w:type="dxa"/>
            <w:right w:w="108" w:type="dxa"/>
          </w:tblCellMar>
        </w:tblPrEx>
        <w:trPr>
          <w:trHeight w:val="270" w:hRule="atLeast"/>
        </w:trPr>
        <w:tc>
          <w:tcPr>
            <w:tcW w:w="50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55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489" w:type="dxa"/>
            <w:gridSpan w:val="3"/>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c>
          <w:tcPr>
            <w:tcW w:w="192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850" w:type="dxa"/>
            <w:gridSpan w:val="6"/>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280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270"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7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61"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20" w:hRule="atLeast"/>
        </w:trPr>
        <w:tc>
          <w:tcPr>
            <w:tcW w:w="50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55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分层指标</w:t>
            </w:r>
          </w:p>
        </w:tc>
        <w:tc>
          <w:tcPr>
            <w:tcW w:w="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一级指标</w:t>
            </w:r>
          </w:p>
        </w:tc>
        <w:tc>
          <w:tcPr>
            <w:tcW w:w="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二级指标</w:t>
            </w:r>
          </w:p>
        </w:tc>
        <w:tc>
          <w:tcPr>
            <w:tcW w:w="192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9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方法归类</w:t>
            </w:r>
          </w:p>
        </w:tc>
        <w:tc>
          <w:tcPr>
            <w:tcW w:w="49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计算公式</w:t>
            </w:r>
          </w:p>
        </w:tc>
        <w:tc>
          <w:tcPr>
            <w:tcW w:w="280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业务处室自评</w:t>
            </w:r>
          </w:p>
        </w:tc>
        <w:tc>
          <w:tcPr>
            <w:tcW w:w="5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统筹考评</w:t>
            </w:r>
          </w:p>
        </w:tc>
        <w:tc>
          <w:tcPr>
            <w:tcW w:w="77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61"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90" w:hRule="atLeast"/>
        </w:trPr>
        <w:tc>
          <w:tcPr>
            <w:tcW w:w="50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55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927"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9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0.00%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30.00%</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60.00%</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80.00%</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100.00%</w:t>
            </w:r>
          </w:p>
        </w:tc>
        <w:tc>
          <w:tcPr>
            <w:tcW w:w="280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73"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61"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08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4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通用指标</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项目决策</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制度完备</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项目指导意见、管理办法、实施细则等管理制度是否完善，是否存在脱离实际、缺陷、漏洞导致执行偏离预期</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49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发现一处扣3分，直至扣完</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主要查看项目的相关管理制度机制是否健全完善，在项目执行过程中，是否存在管理制度有悖于实际的情况，是否存在难以操作、无法落地、执行不畅的情况，是否存在不能满足实际需求，未及时动态调整的情况</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761"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10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使用合规</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项目资金使用是否符合相关的财务管理制度规定</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49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发现一处扣2分，直至扣完</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项目资金是否符合国家财经法规和财务管理制度及有关专项资金管理办法规定；资金支付是否有完整的审批程序和手续；是否符合项目预算批复或合同规定用途；是否存在截留、挤占、挪用、虚列支出等情况</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61"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135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资金使用率</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项目资金支付使用情况</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9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指标得分=资金实际使用金额/项目预算资金金额×100%*指标分值</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主要查看财政资金实际支付使用，是否存在因制度机制、操作流程、管理疏漏、数据缺失等导致的资金结余，闲置浪费的情况</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12.08</w:t>
            </w:r>
          </w:p>
        </w:tc>
        <w:tc>
          <w:tcPr>
            <w:tcW w:w="76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预算执行率80.52%</w:t>
            </w:r>
          </w:p>
        </w:tc>
      </w:tr>
      <w:tr>
        <w:tblPrEx>
          <w:shd w:val="clear" w:color="auto" w:fill="auto"/>
          <w:tblCellMar>
            <w:top w:w="0" w:type="dxa"/>
            <w:left w:w="108" w:type="dxa"/>
            <w:bottom w:w="0" w:type="dxa"/>
            <w:right w:w="108" w:type="dxa"/>
          </w:tblCellMar>
        </w:tblPrEx>
        <w:trPr>
          <w:trHeight w:val="96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完成结果</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目标完成</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项目实施后是否完成预期目标</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9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指标得分=实际完成任务量/绩效目标设定任务量×100%*指标分值  </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主要查看项目实施后产出数量指标完成情况。</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76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全部完成</w:t>
            </w:r>
          </w:p>
        </w:tc>
      </w:tr>
      <w:tr>
        <w:tblPrEx>
          <w:shd w:val="clear" w:color="auto" w:fill="auto"/>
          <w:tblCellMar>
            <w:top w:w="0" w:type="dxa"/>
            <w:left w:w="108" w:type="dxa"/>
            <w:bottom w:w="0" w:type="dxa"/>
            <w:right w:w="108" w:type="dxa"/>
          </w:tblCellMar>
        </w:tblPrEx>
        <w:trPr>
          <w:trHeight w:val="82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违规记录</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项目管理是否合规</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不合规</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3处及以上不合规</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2处不合规</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1处不合规</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合规</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根据审计监督、财政检查结果反映项目管理是否合规</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61"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130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项目效果</w:t>
            </w: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相关群体满意度调查情况</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9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根据实际满意度与满意度标准值的比率计算指标得分</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主要考察项目相关方在政策实施过程中的满意值，通过不满意情况汇总分析政策在顶层设计、制度构建、管理实施及成效各环节的情况</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14.7</w:t>
            </w:r>
          </w:p>
        </w:tc>
        <w:tc>
          <w:tcPr>
            <w:tcW w:w="76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满意度98%</w:t>
            </w:r>
          </w:p>
        </w:tc>
      </w:tr>
      <w:tr>
        <w:tblPrEx>
          <w:tblCellMar>
            <w:top w:w="0" w:type="dxa"/>
            <w:left w:w="108" w:type="dxa"/>
            <w:bottom w:w="0" w:type="dxa"/>
            <w:right w:w="108" w:type="dxa"/>
          </w:tblCellMar>
        </w:tblPrEx>
        <w:trPr>
          <w:trHeight w:val="130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4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采购质量</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反映物资采购质量情况</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合格率&lt;80%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80%≤合格率&lt;85%</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85%≤合格率&lt;90%</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90%≤合格率&lt;95%</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合格率≥95%</w:t>
            </w:r>
          </w:p>
        </w:tc>
        <w:tc>
          <w:tcPr>
            <w:tcW w:w="2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采购物资合格率应达95%以上</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761"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CellMar>
            <w:top w:w="0" w:type="dxa"/>
            <w:left w:w="108" w:type="dxa"/>
            <w:bottom w:w="0" w:type="dxa"/>
            <w:right w:w="108" w:type="dxa"/>
          </w:tblCellMar>
        </w:tblPrEx>
        <w:trPr>
          <w:trHeight w:val="540" w:hRule="atLeast"/>
        </w:trPr>
        <w:tc>
          <w:tcPr>
            <w:tcW w:w="507"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554"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473"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0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92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8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69"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8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8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131"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803"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5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2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73"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96.78</w:t>
            </w:r>
          </w:p>
        </w:tc>
        <w:tc>
          <w:tcPr>
            <w:tcW w:w="761"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bl>
    <w:p>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eastAsia" w:ascii="仿宋" w:hAnsi="仿宋" w:eastAsia="仿宋" w:cs="仿宋"/>
          <w:b/>
          <w:sz w:val="32"/>
          <w:szCs w:val="32"/>
          <w:lang w:eastAsia="zh-CN"/>
        </w:rPr>
        <w:sectPr>
          <w:pgSz w:w="16838" w:h="11906" w:orient="landscape"/>
          <w:pgMar w:top="1800" w:right="1440" w:bottom="1800" w:left="1440" w:header="851" w:footer="992" w:gutter="0"/>
          <w:cols w:space="425" w:num="1"/>
          <w:docGrid w:type="lines" w:linePitch="312" w:charSpace="0"/>
        </w:sectPr>
      </w:pPr>
    </w:p>
    <w:p>
      <w:pPr>
        <w:snapToGrid w:val="0"/>
        <w:spacing w:beforeAutospacing="0" w:line="600" w:lineRule="exact"/>
        <w:jc w:val="center"/>
        <w:rPr>
          <w:rFonts w:ascii="方正小标宋简体" w:hAnsi="宋体" w:eastAsia="方正小标宋简体"/>
          <w:b/>
          <w:sz w:val="44"/>
          <w:szCs w:val="44"/>
        </w:rPr>
      </w:pPr>
      <w:r>
        <w:rPr>
          <w:rFonts w:hint="eastAsia" w:ascii="方正小标宋简体" w:hAnsi="宋体" w:eastAsia="方正小标宋简体"/>
          <w:b/>
          <w:sz w:val="44"/>
          <w:szCs w:val="44"/>
          <w:lang w:eastAsia="zh-CN"/>
        </w:rPr>
        <w:t>单位</w:t>
      </w:r>
      <w:r>
        <w:rPr>
          <w:rFonts w:hint="eastAsia" w:ascii="方正小标宋简体" w:hAnsi="宋体" w:eastAsia="方正小标宋简体"/>
          <w:b/>
          <w:sz w:val="44"/>
          <w:szCs w:val="44"/>
        </w:rPr>
        <w:t>预算项目支出绩效自评报告</w:t>
      </w:r>
    </w:p>
    <w:p>
      <w:pPr>
        <w:tabs>
          <w:tab w:val="left" w:pos="3885"/>
        </w:tabs>
        <w:snapToGrid w:val="0"/>
        <w:spacing w:line="600" w:lineRule="exact"/>
        <w:jc w:val="center"/>
        <w:rPr>
          <w:rFonts w:ascii="宋体" w:hAnsi="宋体"/>
          <w:b/>
          <w:sz w:val="32"/>
          <w:szCs w:val="32"/>
        </w:rPr>
      </w:pPr>
      <w:r>
        <w:rPr>
          <w:rFonts w:hint="eastAsia" w:ascii="楷体" w:hAnsi="楷体" w:eastAsia="楷体" w:cs="楷体"/>
          <w:b/>
          <w:sz w:val="32"/>
          <w:szCs w:val="32"/>
        </w:rPr>
        <w:t>（</w:t>
      </w:r>
      <w:r>
        <w:rPr>
          <w:rFonts w:hint="eastAsia" w:ascii="楷体" w:hAnsi="楷体" w:eastAsia="楷体" w:cs="楷体"/>
          <w:b/>
          <w:sz w:val="32"/>
          <w:szCs w:val="32"/>
          <w:lang w:eastAsia="zh-CN"/>
        </w:rPr>
        <w:t>老干部工作</w:t>
      </w:r>
      <w:r>
        <w:rPr>
          <w:rFonts w:hint="eastAsia" w:ascii="楷体" w:hAnsi="楷体" w:eastAsia="楷体" w:cs="楷体"/>
          <w:b/>
          <w:sz w:val="32"/>
          <w:szCs w:val="32"/>
        </w:rPr>
        <w:t>经费）</w:t>
      </w:r>
    </w:p>
    <w:p>
      <w:pPr>
        <w:numPr>
          <w:ilvl w:val="0"/>
          <w:numId w:val="12"/>
        </w:numPr>
        <w:tabs>
          <w:tab w:val="left" w:pos="3885"/>
        </w:tabs>
        <w:snapToGrid w:val="0"/>
        <w:spacing w:line="560" w:lineRule="exact"/>
        <w:ind w:firstLine="643" w:firstLineChars="200"/>
        <w:jc w:val="left"/>
        <w:rPr>
          <w:rFonts w:hint="eastAsia" w:ascii="黑体" w:hAnsi="黑体" w:eastAsia="黑体" w:cs="黑体"/>
          <w:b/>
          <w:bCs/>
          <w:sz w:val="32"/>
          <w:szCs w:val="32"/>
        </w:rPr>
      </w:pPr>
      <w:r>
        <w:rPr>
          <w:rFonts w:hint="eastAsia" w:ascii="黑体" w:hAnsi="黑体" w:eastAsia="黑体" w:cs="黑体"/>
          <w:b/>
          <w:bCs/>
          <w:sz w:val="32"/>
          <w:szCs w:val="32"/>
        </w:rPr>
        <w:t>基本情况</w:t>
      </w:r>
    </w:p>
    <w:p>
      <w:pPr>
        <w:pStyle w:val="24"/>
        <w:numPr>
          <w:ilvl w:val="0"/>
          <w:numId w:val="0"/>
        </w:numPr>
        <w:tabs>
          <w:tab w:val="left" w:pos="3885"/>
        </w:tabs>
        <w:snapToGrid w:val="0"/>
        <w:spacing w:line="560" w:lineRule="exact"/>
        <w:ind w:left="640" w:leftChars="0"/>
        <w:jc w:val="left"/>
        <w:rPr>
          <w:rFonts w:hint="eastAsia" w:ascii="楷体" w:hAnsi="楷体" w:eastAsia="楷体" w:cs="楷体"/>
          <w:b/>
          <w:sz w:val="32"/>
          <w:szCs w:val="32"/>
        </w:rPr>
      </w:pPr>
      <w:r>
        <w:rPr>
          <w:rFonts w:hint="eastAsia" w:ascii="楷体" w:hAnsi="楷体" w:eastAsia="楷体" w:cs="楷体"/>
          <w:b/>
          <w:sz w:val="32"/>
          <w:szCs w:val="32"/>
          <w:lang w:eastAsia="zh-CN"/>
        </w:rPr>
        <w:t>（一）</w:t>
      </w:r>
      <w:r>
        <w:rPr>
          <w:rFonts w:hint="eastAsia" w:ascii="楷体" w:hAnsi="楷体" w:eastAsia="楷体" w:cs="楷体"/>
          <w:b/>
          <w:sz w:val="32"/>
          <w:szCs w:val="32"/>
        </w:rPr>
        <w:t>项目概况</w:t>
      </w:r>
    </w:p>
    <w:p>
      <w:pPr>
        <w:tabs>
          <w:tab w:val="left" w:pos="3885"/>
        </w:tabs>
        <w:snapToGrid w:val="0"/>
        <w:spacing w:line="560" w:lineRule="exact"/>
        <w:ind w:firstLine="643" w:firstLineChars="200"/>
        <w:jc w:val="both"/>
        <w:rPr>
          <w:rFonts w:hint="eastAsia" w:ascii="仿宋" w:hAnsi="仿宋" w:eastAsia="仿宋" w:cs="仿宋"/>
          <w:b/>
          <w:bCs/>
          <w:sz w:val="32"/>
          <w:szCs w:val="32"/>
        </w:rPr>
      </w:pPr>
      <w:r>
        <w:rPr>
          <w:rFonts w:hint="eastAsia" w:ascii="仿宋" w:hAnsi="仿宋" w:eastAsia="仿宋" w:cs="仿宋"/>
          <w:b/>
          <w:bCs/>
          <w:sz w:val="32"/>
          <w:szCs w:val="32"/>
          <w:lang w:eastAsia="zh-CN"/>
        </w:rPr>
        <w:t>该项目主要用于保障离退休党总支组织开展各类政治时事学习、主题活动、健康体检、健康疗养、看望慰问等工作，以增强党组织凝聚力战斗力，组织引领离退休人员为党和人民事业增添正能量</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rPr>
      </w:pPr>
      <w:r>
        <w:rPr>
          <w:rFonts w:hint="eastAsia" w:ascii="楷体" w:hAnsi="楷体" w:eastAsia="楷体" w:cs="楷体"/>
          <w:b/>
          <w:sz w:val="32"/>
          <w:szCs w:val="32"/>
        </w:rPr>
        <w:t>（二）项目实施情况</w:t>
      </w:r>
    </w:p>
    <w:p>
      <w:pPr>
        <w:spacing w:line="560" w:lineRule="exact"/>
        <w:ind w:firstLine="660"/>
        <w:rPr>
          <w:rFonts w:hint="eastAsia" w:ascii="仿宋" w:hAnsi="仿宋" w:eastAsia="仿宋" w:cs="仿宋"/>
          <w:b/>
          <w:bCs/>
          <w:sz w:val="32"/>
          <w:szCs w:val="32"/>
        </w:rPr>
      </w:pPr>
      <w:r>
        <w:rPr>
          <w:rFonts w:hint="eastAsia" w:ascii="仿宋" w:hAnsi="仿宋" w:eastAsia="仿宋" w:cs="仿宋"/>
          <w:b/>
          <w:bCs/>
          <w:sz w:val="32"/>
          <w:szCs w:val="32"/>
          <w:lang w:val="en-US" w:eastAsia="zh-CN"/>
        </w:rPr>
        <w:t>2020年项目实施单位在新冠疫情特殊条件下仍然圆满完成全年目标任务，共组织支部活动、慰问活动及看望生病住院老同志116次，为省委办公厅267名离退休干部职工提供了优质服务</w:t>
      </w:r>
      <w:r>
        <w:rPr>
          <w:rFonts w:hint="eastAsia" w:ascii="仿宋" w:hAnsi="仿宋" w:eastAsia="仿宋" w:cs="仿宋"/>
          <w:b/>
          <w:bCs/>
          <w:sz w:val="32"/>
          <w:szCs w:val="32"/>
        </w:rPr>
        <w:t>。</w:t>
      </w:r>
    </w:p>
    <w:p>
      <w:pPr>
        <w:spacing w:line="560" w:lineRule="exact"/>
        <w:ind w:firstLine="660"/>
        <w:rPr>
          <w:rFonts w:hint="eastAsia" w:ascii="楷体" w:hAnsi="楷体" w:eastAsia="楷体" w:cs="楷体"/>
          <w:b/>
          <w:sz w:val="32"/>
          <w:szCs w:val="32"/>
          <w:lang w:eastAsia="zh-CN"/>
        </w:rPr>
      </w:pPr>
      <w:r>
        <w:rPr>
          <w:rFonts w:hint="eastAsia" w:ascii="楷体" w:hAnsi="楷体" w:eastAsia="楷体" w:cs="楷体"/>
          <w:b/>
          <w:sz w:val="32"/>
          <w:szCs w:val="32"/>
          <w:lang w:eastAsia="zh-CN"/>
        </w:rPr>
        <w:t>（三）资金使用及绩效情况</w:t>
      </w:r>
    </w:p>
    <w:p>
      <w:pPr>
        <w:overflowPunct w:val="0"/>
        <w:spacing w:line="560" w:lineRule="exact"/>
        <w:ind w:firstLine="643" w:firstLineChars="200"/>
        <w:rPr>
          <w:rFonts w:hint="eastAsia" w:ascii="仿宋" w:hAnsi="仿宋" w:eastAsia="仿宋" w:cs="仿宋"/>
          <w:b/>
          <w:bCs/>
          <w:spacing w:val="-2"/>
          <w:sz w:val="32"/>
          <w:szCs w:val="32"/>
        </w:rPr>
      </w:pPr>
      <w:r>
        <w:rPr>
          <w:rFonts w:hint="eastAsia" w:ascii="仿宋" w:hAnsi="仿宋" w:eastAsia="仿宋" w:cs="仿宋"/>
          <w:b/>
          <w:bCs/>
          <w:sz w:val="32"/>
          <w:szCs w:val="32"/>
        </w:rPr>
        <w:t>2020年该项</w:t>
      </w:r>
      <w:r>
        <w:rPr>
          <w:rFonts w:hint="eastAsia" w:ascii="仿宋" w:hAnsi="仿宋" w:eastAsia="仿宋" w:cs="仿宋"/>
          <w:b/>
          <w:bCs/>
          <w:sz w:val="32"/>
          <w:szCs w:val="32"/>
          <w:lang w:eastAsia="zh-CN"/>
        </w:rPr>
        <w:t>目</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预算为</w:t>
      </w:r>
      <w:r>
        <w:rPr>
          <w:rFonts w:hint="eastAsia" w:ascii="仿宋" w:hAnsi="仿宋" w:eastAsia="仿宋" w:cs="仿宋"/>
          <w:b/>
          <w:bCs/>
          <w:sz w:val="32"/>
          <w:szCs w:val="32"/>
          <w:lang w:val="en-US" w:eastAsia="zh-CN"/>
        </w:rPr>
        <w:t>100万元，实际</w:t>
      </w:r>
      <w:r>
        <w:rPr>
          <w:rFonts w:hint="eastAsia" w:ascii="仿宋" w:hAnsi="仿宋" w:eastAsia="仿宋" w:cs="仿宋"/>
          <w:b/>
          <w:bCs/>
          <w:sz w:val="32"/>
          <w:szCs w:val="32"/>
        </w:rPr>
        <w:t>支出</w:t>
      </w:r>
      <w:r>
        <w:rPr>
          <w:rFonts w:hint="eastAsia" w:ascii="仿宋" w:hAnsi="仿宋" w:eastAsia="仿宋" w:cs="仿宋"/>
          <w:b/>
          <w:bCs/>
          <w:sz w:val="32"/>
          <w:szCs w:val="32"/>
          <w:lang w:val="en-US" w:eastAsia="zh-CN"/>
        </w:rPr>
        <w:t>100</w:t>
      </w:r>
      <w:r>
        <w:rPr>
          <w:rFonts w:hint="eastAsia" w:ascii="仿宋" w:hAnsi="仿宋" w:eastAsia="仿宋" w:cs="仿宋"/>
          <w:b/>
          <w:bCs/>
          <w:sz w:val="32"/>
          <w:szCs w:val="32"/>
        </w:rPr>
        <w:t>万元，预算执行率</w:t>
      </w:r>
      <w:r>
        <w:rPr>
          <w:rFonts w:hint="eastAsia" w:ascii="仿宋" w:hAnsi="仿宋" w:eastAsia="仿宋" w:cs="仿宋"/>
          <w:b/>
          <w:bCs/>
          <w:sz w:val="32"/>
          <w:szCs w:val="32"/>
          <w:lang w:eastAsia="zh-CN"/>
        </w:rPr>
        <w:t>为</w:t>
      </w:r>
      <w:r>
        <w:rPr>
          <w:rFonts w:hint="eastAsia" w:ascii="仿宋" w:hAnsi="仿宋" w:eastAsia="仿宋" w:cs="仿宋"/>
          <w:b/>
          <w:bCs/>
          <w:sz w:val="32"/>
          <w:szCs w:val="32"/>
          <w:lang w:val="en-US" w:eastAsia="zh-CN"/>
        </w:rPr>
        <w:t>100</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二、评价工作开展情况</w:t>
      </w:r>
    </w:p>
    <w:p>
      <w:pPr>
        <w:snapToGrid w:val="0"/>
        <w:spacing w:line="560" w:lineRule="exact"/>
        <w:ind w:firstLine="643" w:firstLineChars="200"/>
        <w:rPr>
          <w:rFonts w:ascii="仿宋_GB2312" w:hAnsi="仿宋_GB2312" w:cs="仿宋_GB2312"/>
          <w:sz w:val="32"/>
          <w:szCs w:val="32"/>
        </w:rPr>
      </w:pPr>
      <w:r>
        <w:rPr>
          <w:rFonts w:hint="eastAsia" w:ascii="仿宋" w:hAnsi="仿宋" w:eastAsia="仿宋" w:cs="仿宋"/>
          <w:b/>
          <w:bCs/>
          <w:sz w:val="32"/>
          <w:szCs w:val="32"/>
          <w:lang w:eastAsia="zh-CN"/>
        </w:rPr>
        <w:t>老干部工作</w:t>
      </w:r>
      <w:r>
        <w:rPr>
          <w:rFonts w:hint="eastAsia" w:ascii="仿宋" w:hAnsi="仿宋" w:eastAsia="仿宋" w:cs="仿宋"/>
          <w:b/>
          <w:bCs/>
          <w:sz w:val="32"/>
          <w:szCs w:val="32"/>
        </w:rPr>
        <w:t>经费由</w:t>
      </w:r>
      <w:r>
        <w:rPr>
          <w:rFonts w:hint="eastAsia" w:ascii="仿宋" w:hAnsi="仿宋" w:eastAsia="仿宋" w:cs="仿宋"/>
          <w:b/>
          <w:bCs/>
          <w:sz w:val="32"/>
          <w:szCs w:val="32"/>
          <w:lang w:eastAsia="zh-CN"/>
        </w:rPr>
        <w:t>省委办公厅财务处和项目实施单位共同</w:t>
      </w:r>
      <w:r>
        <w:rPr>
          <w:rFonts w:hint="eastAsia" w:ascii="仿宋" w:hAnsi="仿宋" w:eastAsia="仿宋" w:cs="仿宋"/>
          <w:b/>
          <w:bCs/>
          <w:sz w:val="32"/>
          <w:szCs w:val="32"/>
        </w:rPr>
        <w:t>开展绩效评价工作。</w:t>
      </w:r>
      <w:r>
        <w:rPr>
          <w:rFonts w:hint="eastAsia" w:ascii="仿宋" w:hAnsi="仿宋" w:eastAsia="仿宋" w:cs="仿宋"/>
          <w:b/>
          <w:bCs/>
          <w:sz w:val="32"/>
          <w:szCs w:val="32"/>
          <w:lang w:eastAsia="zh-CN"/>
        </w:rPr>
        <w:t>按照项目支出</w:t>
      </w:r>
      <w:r>
        <w:rPr>
          <w:rFonts w:hint="eastAsia" w:ascii="仿宋" w:hAnsi="仿宋" w:eastAsia="仿宋" w:cs="仿宋"/>
          <w:b/>
          <w:bCs/>
          <w:sz w:val="32"/>
          <w:szCs w:val="32"/>
        </w:rPr>
        <w:t>绩效评价</w:t>
      </w:r>
      <w:r>
        <w:rPr>
          <w:rFonts w:hint="eastAsia" w:ascii="仿宋" w:hAnsi="仿宋" w:eastAsia="仿宋" w:cs="仿宋"/>
          <w:b/>
          <w:bCs/>
          <w:sz w:val="32"/>
          <w:szCs w:val="32"/>
          <w:lang w:eastAsia="zh-CN"/>
        </w:rPr>
        <w:t>办法</w:t>
      </w:r>
      <w:r>
        <w:rPr>
          <w:rFonts w:hint="eastAsia" w:ascii="仿宋" w:hAnsi="仿宋" w:eastAsia="仿宋" w:cs="仿宋"/>
          <w:b/>
          <w:bCs/>
          <w:sz w:val="32"/>
          <w:szCs w:val="32"/>
        </w:rPr>
        <w:t>，结合</w:t>
      </w:r>
      <w:r>
        <w:rPr>
          <w:rFonts w:hint="eastAsia" w:ascii="仿宋" w:hAnsi="仿宋" w:eastAsia="仿宋" w:cs="仿宋"/>
          <w:b/>
          <w:bCs/>
          <w:sz w:val="32"/>
          <w:szCs w:val="32"/>
          <w:lang w:eastAsia="zh-CN"/>
        </w:rPr>
        <w:t>老干部工作</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项目实际，梳理、明确项目支出绩效评分体系。在此基础上，依据</w:t>
      </w:r>
      <w:r>
        <w:rPr>
          <w:rFonts w:hint="eastAsia" w:ascii="仿宋" w:hAnsi="仿宋" w:eastAsia="仿宋" w:cs="仿宋"/>
          <w:b/>
          <w:bCs/>
          <w:sz w:val="32"/>
          <w:szCs w:val="32"/>
          <w:lang w:val="en-US" w:eastAsia="zh-CN"/>
        </w:rPr>
        <w:t>2020年度老干部工作经费使用情况和年度绩效目标完成情况，对项目支出绩效进行综合评价</w:t>
      </w:r>
      <w:r>
        <w:rPr>
          <w:rFonts w:hint="eastAsia" w:ascii="仿宋" w:hAnsi="仿宋" w:eastAsia="仿宋" w:cs="仿宋"/>
          <w:b/>
          <w:bCs/>
          <w:sz w:val="32"/>
          <w:szCs w:val="32"/>
        </w:rPr>
        <w:t>。评价方法主要采用</w:t>
      </w:r>
      <w:r>
        <w:rPr>
          <w:rFonts w:hint="eastAsia" w:ascii="仿宋" w:hAnsi="仿宋" w:eastAsia="仿宋" w:cs="仿宋"/>
          <w:b/>
          <w:bCs/>
          <w:sz w:val="32"/>
          <w:szCs w:val="32"/>
          <w:lang w:eastAsia="zh-CN"/>
        </w:rPr>
        <w:t>比率分值法、分级评分法和缺（错）项扣分法</w:t>
      </w:r>
      <w:r>
        <w:rPr>
          <w:rFonts w:hint="eastAsia" w:ascii="仿宋" w:hAnsi="仿宋" w:eastAsia="仿宋" w:cs="仿宋"/>
          <w:b/>
          <w:bCs/>
          <w:sz w:val="32"/>
          <w:szCs w:val="32"/>
        </w:rPr>
        <w:t>，将年初绩效目标</w:t>
      </w:r>
      <w:r>
        <w:rPr>
          <w:rFonts w:hint="eastAsia" w:ascii="仿宋" w:hAnsi="仿宋" w:eastAsia="仿宋" w:cs="仿宋"/>
          <w:b/>
          <w:bCs/>
          <w:sz w:val="32"/>
          <w:szCs w:val="32"/>
          <w:lang w:eastAsia="zh-CN"/>
        </w:rPr>
        <w:t>与</w:t>
      </w:r>
      <w:r>
        <w:rPr>
          <w:rFonts w:hint="eastAsia" w:ascii="仿宋" w:hAnsi="仿宋" w:eastAsia="仿宋" w:cs="仿宋"/>
          <w:b/>
          <w:bCs/>
          <w:sz w:val="32"/>
          <w:szCs w:val="32"/>
        </w:rPr>
        <w:t>项目实际</w:t>
      </w:r>
      <w:r>
        <w:rPr>
          <w:rFonts w:hint="eastAsia" w:ascii="仿宋" w:hAnsi="仿宋" w:eastAsia="仿宋" w:cs="仿宋"/>
          <w:b/>
          <w:bCs/>
          <w:sz w:val="32"/>
          <w:szCs w:val="32"/>
          <w:lang w:eastAsia="zh-CN"/>
        </w:rPr>
        <w:t>完成情况</w:t>
      </w:r>
      <w:r>
        <w:rPr>
          <w:rFonts w:hint="eastAsia" w:ascii="仿宋" w:hAnsi="仿宋" w:eastAsia="仿宋" w:cs="仿宋"/>
          <w:b/>
          <w:bCs/>
          <w:sz w:val="32"/>
          <w:szCs w:val="32"/>
        </w:rPr>
        <w:t>进行比较，将项目</w:t>
      </w:r>
      <w:r>
        <w:rPr>
          <w:rFonts w:hint="eastAsia" w:ascii="仿宋" w:hAnsi="仿宋" w:eastAsia="仿宋" w:cs="仿宋"/>
          <w:b/>
          <w:bCs/>
          <w:sz w:val="32"/>
          <w:szCs w:val="32"/>
          <w:lang w:eastAsia="zh-CN"/>
        </w:rPr>
        <w:t>资金使用情况与服务老干部工作开展情况、老干部满意度</w:t>
      </w:r>
      <w:r>
        <w:rPr>
          <w:rFonts w:hint="eastAsia" w:ascii="仿宋" w:hAnsi="仿宋" w:eastAsia="仿宋" w:cs="仿宋"/>
          <w:b/>
          <w:bCs/>
          <w:sz w:val="32"/>
          <w:szCs w:val="32"/>
        </w:rPr>
        <w:t>进行配比。评价工作遵循相关性、重要性、系统性原则，</w:t>
      </w:r>
      <w:r>
        <w:rPr>
          <w:rFonts w:hint="eastAsia" w:ascii="仿宋" w:hAnsi="仿宋" w:eastAsia="仿宋" w:cs="仿宋"/>
          <w:b/>
          <w:bCs/>
          <w:sz w:val="32"/>
          <w:szCs w:val="32"/>
          <w:lang w:eastAsia="zh-CN"/>
        </w:rPr>
        <w:t>力求全面评价反映该项目总体绩效情况</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三、综合评价结论</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根据</w:t>
      </w:r>
      <w:r>
        <w:rPr>
          <w:rFonts w:hint="eastAsia" w:ascii="仿宋" w:hAnsi="仿宋" w:eastAsia="仿宋" w:cs="仿宋"/>
          <w:b/>
          <w:bCs/>
          <w:sz w:val="32"/>
          <w:szCs w:val="32"/>
          <w:lang w:eastAsia="zh-CN"/>
        </w:rPr>
        <w:t>老干部工作经费支出绩效</w:t>
      </w:r>
      <w:r>
        <w:rPr>
          <w:rFonts w:hint="eastAsia" w:ascii="仿宋" w:hAnsi="仿宋" w:eastAsia="仿宋" w:cs="仿宋"/>
          <w:b/>
          <w:bCs/>
          <w:sz w:val="32"/>
          <w:szCs w:val="32"/>
        </w:rPr>
        <w:t>评价</w:t>
      </w:r>
      <w:r>
        <w:rPr>
          <w:rFonts w:hint="eastAsia" w:ascii="仿宋" w:hAnsi="仿宋" w:eastAsia="仿宋" w:cs="仿宋"/>
          <w:b/>
          <w:bCs/>
          <w:sz w:val="32"/>
          <w:szCs w:val="32"/>
          <w:lang w:eastAsia="zh-CN"/>
        </w:rPr>
        <w:t>指标体系</w:t>
      </w:r>
      <w:r>
        <w:rPr>
          <w:rFonts w:hint="eastAsia" w:ascii="仿宋" w:hAnsi="仿宋" w:eastAsia="仿宋" w:cs="仿宋"/>
          <w:b/>
          <w:bCs/>
          <w:sz w:val="32"/>
          <w:szCs w:val="32"/>
        </w:rPr>
        <w:t>，</w:t>
      </w:r>
      <w:r>
        <w:rPr>
          <w:rFonts w:hint="eastAsia" w:ascii="仿宋" w:hAnsi="仿宋" w:eastAsia="仿宋" w:cs="仿宋"/>
          <w:b/>
          <w:bCs/>
          <w:sz w:val="32"/>
          <w:szCs w:val="32"/>
          <w:lang w:val="en-US" w:eastAsia="zh-CN"/>
        </w:rPr>
        <w:t>2020年</w:t>
      </w:r>
      <w:r>
        <w:rPr>
          <w:rFonts w:hint="eastAsia" w:ascii="仿宋" w:hAnsi="仿宋" w:eastAsia="仿宋" w:cs="仿宋"/>
          <w:b/>
          <w:bCs/>
          <w:sz w:val="32"/>
          <w:szCs w:val="32"/>
          <w:lang w:eastAsia="zh-CN"/>
        </w:rPr>
        <w:t>老干部工作</w:t>
      </w:r>
      <w:r>
        <w:rPr>
          <w:rFonts w:hint="eastAsia" w:ascii="仿宋" w:hAnsi="仿宋" w:eastAsia="仿宋" w:cs="仿宋"/>
          <w:b/>
          <w:bCs/>
          <w:sz w:val="32"/>
          <w:szCs w:val="32"/>
        </w:rPr>
        <w:t>经费</w:t>
      </w:r>
      <w:r>
        <w:rPr>
          <w:rFonts w:hint="eastAsia" w:ascii="仿宋" w:hAnsi="仿宋" w:eastAsia="仿宋" w:cs="仿宋"/>
          <w:b/>
          <w:bCs/>
          <w:sz w:val="32"/>
          <w:szCs w:val="32"/>
          <w:lang w:eastAsia="zh-CN"/>
        </w:rPr>
        <w:t>支出绩效自评得分为</w:t>
      </w:r>
      <w:r>
        <w:rPr>
          <w:rFonts w:hint="eastAsia" w:ascii="仿宋" w:hAnsi="仿宋" w:eastAsia="仿宋" w:cs="仿宋"/>
          <w:b/>
          <w:bCs/>
          <w:sz w:val="32"/>
          <w:szCs w:val="32"/>
          <w:lang w:val="en-US" w:eastAsia="zh-CN"/>
        </w:rPr>
        <w:t>97.7分</w:t>
      </w:r>
      <w:r>
        <w:rPr>
          <w:rFonts w:hint="eastAsia" w:ascii="仿宋" w:hAnsi="仿宋" w:eastAsia="仿宋" w:cs="仿宋"/>
          <w:b/>
          <w:bCs/>
          <w:sz w:val="32"/>
          <w:szCs w:val="32"/>
        </w:rPr>
        <w:t>，</w:t>
      </w:r>
      <w:r>
        <w:rPr>
          <w:rFonts w:hint="eastAsia" w:ascii="仿宋" w:hAnsi="仿宋" w:eastAsia="仿宋" w:cs="仿宋"/>
          <w:b/>
          <w:bCs/>
          <w:sz w:val="32"/>
          <w:szCs w:val="32"/>
          <w:lang w:eastAsia="zh-CN"/>
        </w:rPr>
        <w:t>综合评价为优秀，</w:t>
      </w:r>
      <w:r>
        <w:rPr>
          <w:rFonts w:hint="eastAsia" w:ascii="仿宋" w:hAnsi="仿宋" w:eastAsia="仿宋" w:cs="仿宋"/>
          <w:b/>
          <w:bCs/>
          <w:sz w:val="32"/>
          <w:szCs w:val="32"/>
          <w:lang w:val="en-US" w:eastAsia="zh-CN"/>
        </w:rPr>
        <w:t>详见下表</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四、绩效评价分析</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（一）项目决策情况</w:t>
      </w:r>
    </w:p>
    <w:p>
      <w:pPr>
        <w:snapToGrid w:val="0"/>
        <w:spacing w:line="560" w:lineRule="exact"/>
        <w:ind w:firstLine="643" w:firstLineChars="200"/>
        <w:rPr>
          <w:rFonts w:ascii="楷体_GB2312" w:hAnsi="宋体" w:eastAsia="楷体_GB2312"/>
          <w:b/>
          <w:sz w:val="32"/>
          <w:szCs w:val="32"/>
        </w:rPr>
      </w:pPr>
      <w:r>
        <w:rPr>
          <w:rFonts w:hint="eastAsia" w:ascii="仿宋" w:hAnsi="仿宋" w:eastAsia="仿宋" w:cs="仿宋"/>
          <w:b/>
          <w:bCs/>
          <w:sz w:val="32"/>
          <w:szCs w:val="32"/>
          <w:lang w:eastAsia="zh-CN"/>
        </w:rPr>
        <w:t>围绕省委关于加强和改进离退休干部工作的总体部署，按照办公厅年度重点工作安排，项目实施单位在充分调查研究、听取老干部意见建议的基础上，细化工作举措和年度计划安排，测算资金需求。财务处将该项目纳入年度部门预算草案编制，经厅务会审议后报财政厅纳入省级部门预算编制报批。</w:t>
      </w:r>
    </w:p>
    <w:p>
      <w:pPr>
        <w:snapToGrid w:val="0"/>
        <w:spacing w:line="560" w:lineRule="exact"/>
        <w:ind w:firstLine="643" w:firstLineChars="200"/>
        <w:rPr>
          <w:rFonts w:hint="eastAsia" w:ascii="楷体" w:hAnsi="楷体" w:eastAsia="楷体" w:cs="楷体"/>
          <w:b/>
          <w:bCs w:val="0"/>
          <w:sz w:val="32"/>
          <w:szCs w:val="32"/>
        </w:rPr>
      </w:pPr>
      <w:r>
        <w:rPr>
          <w:rFonts w:hint="eastAsia" w:ascii="楷体" w:hAnsi="楷体" w:eastAsia="楷体" w:cs="楷体"/>
          <w:b/>
          <w:bCs w:val="0"/>
          <w:sz w:val="32"/>
          <w:szCs w:val="32"/>
        </w:rPr>
        <w:t>（二）项目管理情况</w:t>
      </w:r>
    </w:p>
    <w:p>
      <w:pPr>
        <w:snapToGrid w:val="0"/>
        <w:spacing w:line="560" w:lineRule="exact"/>
        <w:ind w:firstLine="643" w:firstLineChars="200"/>
        <w:rPr>
          <w:rFonts w:hint="eastAsia" w:ascii="楷体_GB2312" w:hAnsi="宋体" w:eastAsia="仿宋"/>
          <w:b/>
          <w:sz w:val="32"/>
          <w:szCs w:val="32"/>
          <w:lang w:eastAsia="zh-CN"/>
        </w:rPr>
      </w:pPr>
      <w:r>
        <w:rPr>
          <w:rFonts w:hint="eastAsia" w:ascii="仿宋" w:hAnsi="仿宋" w:eastAsia="仿宋" w:cs="仿宋"/>
          <w:b/>
          <w:bCs/>
          <w:sz w:val="32"/>
          <w:szCs w:val="32"/>
          <w:lang w:eastAsia="zh-CN"/>
        </w:rPr>
        <w:t>该项目相关管理制度机制较为完善，项目实施单位严格按照办公厅离退休人员待遇标准推进项目执行，在项目执行过程中，未出现管理制度有悖于实际的情况，也未出现难以操作、无法落地、执行不畅的情况</w:t>
      </w:r>
      <w:r>
        <w:rPr>
          <w:rFonts w:hint="eastAsia" w:ascii="仿宋" w:hAnsi="仿宋" w:eastAsia="仿宋" w:cs="仿宋"/>
          <w:b/>
          <w:bCs/>
          <w:sz w:val="32"/>
          <w:szCs w:val="32"/>
        </w:rPr>
        <w:t>。</w:t>
      </w:r>
      <w:r>
        <w:rPr>
          <w:rFonts w:hint="eastAsia" w:ascii="仿宋" w:hAnsi="仿宋" w:eastAsia="仿宋" w:cs="仿宋"/>
          <w:b/>
          <w:bCs/>
          <w:sz w:val="32"/>
          <w:szCs w:val="32"/>
          <w:lang w:eastAsia="zh-CN"/>
        </w:rPr>
        <w:t>项目资金使用符合相关财务管理制度规定。</w:t>
      </w:r>
    </w:p>
    <w:p>
      <w:pPr>
        <w:snapToGrid w:val="0"/>
        <w:spacing w:line="560" w:lineRule="exact"/>
        <w:ind w:firstLine="643" w:firstLineChars="200"/>
        <w:rPr>
          <w:rFonts w:hint="eastAsia" w:ascii="楷体" w:hAnsi="楷体" w:eastAsia="楷体" w:cs="楷体"/>
          <w:b/>
          <w:sz w:val="32"/>
          <w:szCs w:val="32"/>
        </w:rPr>
      </w:pPr>
      <w:r>
        <w:rPr>
          <w:rFonts w:hint="eastAsia" w:ascii="楷体" w:hAnsi="楷体" w:eastAsia="楷体" w:cs="楷体"/>
          <w:b/>
          <w:sz w:val="32"/>
          <w:szCs w:val="32"/>
        </w:rPr>
        <w:t>（三）项目产出情况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项目实施单位共组织支部活动、慰问活动及看望生病老同志</w:t>
      </w:r>
      <w:r>
        <w:rPr>
          <w:rFonts w:hint="eastAsia" w:ascii="仿宋" w:hAnsi="仿宋" w:eastAsia="仿宋" w:cs="仿宋"/>
          <w:b/>
          <w:bCs/>
          <w:sz w:val="32"/>
          <w:szCs w:val="32"/>
          <w:lang w:val="en-US" w:eastAsia="zh-CN"/>
        </w:rPr>
        <w:t>116次，为省委办公厅267名离退休干部职工提供了优质服务，离退休老同志满意度为98%</w:t>
      </w:r>
      <w:r>
        <w:rPr>
          <w:rFonts w:hint="eastAsia" w:ascii="仿宋" w:hAnsi="仿宋" w:eastAsia="仿宋" w:cs="仿宋"/>
          <w:b/>
          <w:bCs/>
          <w:sz w:val="32"/>
          <w:szCs w:val="32"/>
        </w:rPr>
        <w:t>。</w:t>
      </w:r>
    </w:p>
    <w:p>
      <w:pPr>
        <w:snapToGrid w:val="0"/>
        <w:spacing w:line="560" w:lineRule="exact"/>
        <w:ind w:firstLine="643" w:firstLineChars="200"/>
        <w:rPr>
          <w:rFonts w:ascii="楷体_GB2312" w:hAnsi="宋体" w:eastAsia="楷体_GB2312"/>
          <w:b/>
          <w:sz w:val="32"/>
          <w:szCs w:val="32"/>
        </w:rPr>
      </w:pPr>
      <w:r>
        <w:rPr>
          <w:rFonts w:hint="eastAsia" w:ascii="楷体" w:hAnsi="楷体" w:eastAsia="楷体" w:cs="楷体"/>
          <w:b/>
          <w:sz w:val="32"/>
          <w:szCs w:val="32"/>
        </w:rPr>
        <w:t>（四）项目效益情况</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在疫情防控常态化的背景下，项目实施单位通过精准计划、精细筹划，圆满完成各项学习教育、主题党建、健康疗养、走访慰问等活动任务，离退休党组织凝聚力增强，服务离退休人员为党和人民事业献计助力作用明显</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五、存在主要问题</w:t>
      </w:r>
    </w:p>
    <w:p>
      <w:pPr>
        <w:snapToGrid w:val="0"/>
        <w:spacing w:line="56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lang w:eastAsia="zh-CN"/>
        </w:rPr>
        <w:t>受新冠疫情影响，项目经费主要集中在年末支付，需进一步优化经费支付节奏</w:t>
      </w:r>
      <w:r>
        <w:rPr>
          <w:rFonts w:hint="eastAsia" w:ascii="仿宋" w:hAnsi="仿宋" w:eastAsia="仿宋" w:cs="仿宋"/>
          <w:b/>
          <w:bCs/>
          <w:sz w:val="32"/>
          <w:szCs w:val="32"/>
        </w:rPr>
        <w:t>。</w:t>
      </w:r>
    </w:p>
    <w:p>
      <w:pPr>
        <w:snapToGrid w:val="0"/>
        <w:spacing w:line="560" w:lineRule="exact"/>
        <w:ind w:firstLine="643" w:firstLineChars="200"/>
        <w:rPr>
          <w:rFonts w:hint="eastAsia" w:ascii="黑体" w:hAnsi="黑体" w:eastAsia="黑体" w:cs="黑体"/>
          <w:b/>
          <w:bCs/>
          <w:sz w:val="32"/>
          <w:szCs w:val="32"/>
        </w:rPr>
      </w:pPr>
      <w:r>
        <w:rPr>
          <w:rFonts w:hint="eastAsia" w:ascii="黑体" w:hAnsi="黑体" w:eastAsia="黑体" w:cs="黑体"/>
          <w:b/>
          <w:bCs/>
          <w:sz w:val="32"/>
          <w:szCs w:val="32"/>
        </w:rPr>
        <w:t>六、相关措施</w:t>
      </w:r>
    </w:p>
    <w:p>
      <w:pPr>
        <w:pageBreakBefore w:val="0"/>
        <w:widowControl w:val="0"/>
        <w:kinsoku/>
        <w:wordWrap/>
        <w:overflowPunct/>
        <w:topLinePunct w:val="0"/>
        <w:autoSpaceDE/>
        <w:autoSpaceDN/>
        <w:bidi w:val="0"/>
        <w:adjustRightInd w:val="0"/>
        <w:snapToGrid w:val="0"/>
        <w:spacing w:line="600" w:lineRule="exact"/>
        <w:ind w:firstLine="643" w:firstLineChars="200"/>
        <w:jc w:val="both"/>
        <w:textAlignment w:val="auto"/>
        <w:outlineLvl w:val="0"/>
        <w:rPr>
          <w:rFonts w:hint="default" w:ascii="Times New Roman" w:hAnsi="Times New Roman" w:eastAsia="黑体" w:cs="Times New Roman"/>
          <w:b/>
          <w:bCs/>
          <w:color w:val="000000"/>
          <w:sz w:val="44"/>
          <w:szCs w:val="44"/>
        </w:rPr>
      </w:pPr>
      <w:bookmarkStart w:id="80" w:name="_Toc24365"/>
      <w:bookmarkStart w:id="81" w:name="_Toc6136"/>
      <w:bookmarkStart w:id="82" w:name="_Toc3137"/>
      <w:bookmarkStart w:id="83" w:name="_Toc5832"/>
      <w:bookmarkStart w:id="84" w:name="_Toc26392"/>
      <w:bookmarkStart w:id="85" w:name="_Toc10332"/>
      <w:bookmarkStart w:id="86" w:name="_Toc31251"/>
      <w:r>
        <w:rPr>
          <w:rFonts w:hint="eastAsia" w:ascii="仿宋" w:hAnsi="仿宋" w:eastAsia="仿宋" w:cs="仿宋"/>
          <w:b/>
          <w:bCs/>
          <w:sz w:val="32"/>
          <w:szCs w:val="32"/>
          <w:lang w:eastAsia="zh-CN"/>
        </w:rPr>
        <w:t>进一步加强项目实施计划的制定工作，科学合理安排项目实施进度，优化经费支付节奏</w:t>
      </w:r>
      <w:r>
        <w:rPr>
          <w:rFonts w:hint="eastAsia" w:ascii="仿宋" w:hAnsi="仿宋" w:eastAsia="仿宋" w:cs="仿宋"/>
          <w:b/>
          <w:bCs/>
          <w:sz w:val="32"/>
          <w:szCs w:val="32"/>
        </w:rPr>
        <w:t>。</w:t>
      </w:r>
      <w:r>
        <w:rPr>
          <w:rFonts w:hint="eastAsia" w:ascii="仿宋" w:hAnsi="仿宋" w:eastAsia="仿宋" w:cs="仿宋"/>
          <w:b/>
          <w:bCs/>
          <w:sz w:val="32"/>
          <w:szCs w:val="32"/>
          <w:lang w:eastAsia="zh-CN"/>
        </w:rPr>
        <w:t>强化服务意识，提升服务质量，不断提升服务对象满意度。</w:t>
      </w:r>
      <w:bookmarkEnd w:id="80"/>
      <w:bookmarkEnd w:id="81"/>
      <w:bookmarkEnd w:id="82"/>
      <w:bookmarkEnd w:id="83"/>
      <w:bookmarkEnd w:id="84"/>
      <w:bookmarkEnd w:id="85"/>
      <w:bookmarkEnd w:id="86"/>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sectPr>
          <w:footerReference r:id="rId9" w:type="first"/>
          <w:footerReference r:id="rId8" w:type="default"/>
          <w:pgSz w:w="11906" w:h="16838"/>
          <w:pgMar w:top="1440" w:right="1800" w:bottom="1440" w:left="1800" w:header="851" w:footer="992" w:gutter="0"/>
          <w:cols w:space="425" w:num="1"/>
          <w:titlePg/>
          <w:docGrid w:type="lines" w:linePitch="312" w:charSpace="0"/>
        </w:sectPr>
      </w:pPr>
    </w:p>
    <w:tbl>
      <w:tblPr>
        <w:tblStyle w:val="13"/>
        <w:tblW w:w="15865" w:type="dxa"/>
        <w:tblInd w:w="-844" w:type="dxa"/>
        <w:shd w:val="clear" w:color="auto" w:fill="auto"/>
        <w:tblLayout w:type="fixed"/>
        <w:tblCellMar>
          <w:top w:w="0" w:type="dxa"/>
          <w:left w:w="108" w:type="dxa"/>
          <w:bottom w:w="0" w:type="dxa"/>
          <w:right w:w="108" w:type="dxa"/>
        </w:tblCellMar>
      </w:tblPr>
      <w:tblGrid>
        <w:gridCol w:w="507"/>
        <w:gridCol w:w="520"/>
        <w:gridCol w:w="530"/>
        <w:gridCol w:w="554"/>
        <w:gridCol w:w="808"/>
        <w:gridCol w:w="1754"/>
        <w:gridCol w:w="819"/>
        <w:gridCol w:w="842"/>
        <w:gridCol w:w="1016"/>
        <w:gridCol w:w="877"/>
        <w:gridCol w:w="900"/>
        <w:gridCol w:w="969"/>
        <w:gridCol w:w="2758"/>
        <w:gridCol w:w="773"/>
        <w:gridCol w:w="519"/>
        <w:gridCol w:w="738"/>
        <w:gridCol w:w="981"/>
      </w:tblGrid>
      <w:tr>
        <w:tblPrEx>
          <w:shd w:val="clear" w:color="auto" w:fill="auto"/>
          <w:tblCellMar>
            <w:top w:w="0" w:type="dxa"/>
            <w:left w:w="108" w:type="dxa"/>
            <w:bottom w:w="0" w:type="dxa"/>
            <w:right w:w="108" w:type="dxa"/>
          </w:tblCellMar>
        </w:tblPrEx>
        <w:trPr>
          <w:trHeight w:val="690" w:hRule="atLeast"/>
        </w:trPr>
        <w:tc>
          <w:tcPr>
            <w:tcW w:w="15865" w:type="dxa"/>
            <w:gridSpan w:val="17"/>
            <w:tcBorders>
              <w:top w:val="nil"/>
              <w:left w:val="nil"/>
              <w:bottom w:val="nil"/>
              <w:right w:val="nil"/>
            </w:tcBorders>
            <w:shd w:val="clear" w:color="auto" w:fill="auto"/>
            <w:vAlign w:val="center"/>
          </w:tcPr>
          <w:p>
            <w:pPr>
              <w:keepNext w:val="0"/>
              <w:keepLines w:val="0"/>
              <w:widowControl/>
              <w:suppressLineNumbers w:val="0"/>
              <w:jc w:val="center"/>
              <w:textAlignment w:val="center"/>
              <w:rPr>
                <w:rFonts w:ascii="方正小标宋简体" w:hAnsi="方正小标宋简体" w:eastAsia="方正小标宋简体" w:cs="方正小标宋简体"/>
                <w:b/>
                <w:bCs/>
                <w:i w:val="0"/>
                <w:iCs w:val="0"/>
                <w:color w:val="000000"/>
                <w:sz w:val="40"/>
                <w:szCs w:val="40"/>
                <w:u w:val="none"/>
              </w:rPr>
            </w:pPr>
            <w:r>
              <w:rPr>
                <w:rFonts w:hint="eastAsia" w:ascii="方正小标宋简体" w:hAnsi="方正小标宋简体" w:eastAsia="方正小标宋简体" w:cs="方正小标宋简体"/>
                <w:b/>
                <w:bCs/>
                <w:i w:val="0"/>
                <w:iCs w:val="0"/>
                <w:color w:val="000000"/>
                <w:kern w:val="0"/>
                <w:sz w:val="40"/>
                <w:szCs w:val="40"/>
                <w:u w:val="none"/>
                <w:lang w:val="en-US" w:eastAsia="zh-CN" w:bidi="ar"/>
              </w:rPr>
              <w:t>省委办公厅老干部工作经费支出绩效评分表</w:t>
            </w:r>
          </w:p>
        </w:tc>
      </w:tr>
      <w:tr>
        <w:tblPrEx>
          <w:shd w:val="clear" w:color="auto" w:fill="auto"/>
          <w:tblCellMar>
            <w:top w:w="0" w:type="dxa"/>
            <w:left w:w="108" w:type="dxa"/>
            <w:bottom w:w="0" w:type="dxa"/>
            <w:right w:w="108" w:type="dxa"/>
          </w:tblCellMar>
        </w:tblPrEx>
        <w:trPr>
          <w:trHeight w:val="225" w:hRule="atLeast"/>
        </w:trPr>
        <w:tc>
          <w:tcPr>
            <w:tcW w:w="507" w:type="dxa"/>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52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分值</w:t>
            </w:r>
          </w:p>
        </w:tc>
        <w:tc>
          <w:tcPr>
            <w:tcW w:w="1892" w:type="dxa"/>
            <w:gridSpan w:val="3"/>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分层分类指标</w:t>
            </w:r>
          </w:p>
        </w:tc>
        <w:tc>
          <w:tcPr>
            <w:tcW w:w="1754"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指标解释</w:t>
            </w:r>
          </w:p>
        </w:tc>
        <w:tc>
          <w:tcPr>
            <w:tcW w:w="5423" w:type="dxa"/>
            <w:gridSpan w:val="6"/>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评分方法</w:t>
            </w:r>
          </w:p>
        </w:tc>
        <w:tc>
          <w:tcPr>
            <w:tcW w:w="275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评价要点及说明</w:t>
            </w:r>
          </w:p>
        </w:tc>
        <w:tc>
          <w:tcPr>
            <w:tcW w:w="1292" w:type="dxa"/>
            <w:gridSpan w:val="2"/>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评价方式</w:t>
            </w:r>
          </w:p>
        </w:tc>
        <w:tc>
          <w:tcPr>
            <w:tcW w:w="738"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w:t>
            </w:r>
          </w:p>
        </w:tc>
        <w:tc>
          <w:tcPr>
            <w:tcW w:w="981" w:type="dxa"/>
            <w:vMerge w:val="restart"/>
            <w:tcBorders>
              <w:top w:val="single" w:color="000000" w:sz="8"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备注</w:t>
            </w:r>
          </w:p>
        </w:tc>
      </w:tr>
      <w:tr>
        <w:tblPrEx>
          <w:shd w:val="clear" w:color="auto" w:fill="auto"/>
          <w:tblCellMar>
            <w:top w:w="0" w:type="dxa"/>
            <w:left w:w="108" w:type="dxa"/>
            <w:bottom w:w="0" w:type="dxa"/>
            <w:right w:w="108" w:type="dxa"/>
          </w:tblCellMar>
        </w:tblPrEx>
        <w:trPr>
          <w:trHeight w:val="270" w:hRule="atLeast"/>
        </w:trPr>
        <w:tc>
          <w:tcPr>
            <w:tcW w:w="50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52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892" w:type="dxa"/>
            <w:gridSpan w:val="3"/>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8"/>
                <w:szCs w:val="28"/>
                <w:u w:val="none"/>
              </w:rPr>
            </w:pPr>
          </w:p>
        </w:tc>
        <w:tc>
          <w:tcPr>
            <w:tcW w:w="175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423" w:type="dxa"/>
            <w:gridSpan w:val="6"/>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275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292"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3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981"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420" w:hRule="atLeast"/>
        </w:trPr>
        <w:tc>
          <w:tcPr>
            <w:tcW w:w="50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52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分层指标</w:t>
            </w:r>
          </w:p>
        </w:tc>
        <w:tc>
          <w:tcPr>
            <w:tcW w:w="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一级指标</w:t>
            </w: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二级指标</w:t>
            </w:r>
          </w:p>
        </w:tc>
        <w:tc>
          <w:tcPr>
            <w:tcW w:w="175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方法归类</w:t>
            </w:r>
          </w:p>
        </w:tc>
        <w:tc>
          <w:tcPr>
            <w:tcW w:w="46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计算公式</w:t>
            </w:r>
          </w:p>
        </w:tc>
        <w:tc>
          <w:tcPr>
            <w:tcW w:w="275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业务处室自评</w:t>
            </w:r>
          </w:p>
        </w:tc>
        <w:tc>
          <w:tcPr>
            <w:tcW w:w="5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统筹考评</w:t>
            </w:r>
          </w:p>
        </w:tc>
        <w:tc>
          <w:tcPr>
            <w:tcW w:w="73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981"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390" w:hRule="atLeast"/>
        </w:trPr>
        <w:tc>
          <w:tcPr>
            <w:tcW w:w="507" w:type="dxa"/>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2"/>
                <w:szCs w:val="22"/>
                <w:u w:val="none"/>
              </w:rPr>
            </w:pPr>
          </w:p>
        </w:tc>
        <w:tc>
          <w:tcPr>
            <w:tcW w:w="520"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1754"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0.00%</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30.00%</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60.00%</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80.00%</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100.00%</w:t>
            </w:r>
          </w:p>
        </w:tc>
        <w:tc>
          <w:tcPr>
            <w:tcW w:w="275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5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738" w:type="dxa"/>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c>
          <w:tcPr>
            <w:tcW w:w="981" w:type="dxa"/>
            <w:vMerge w:val="continue"/>
            <w:tcBorders>
              <w:top w:val="single" w:color="000000" w:sz="8"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b/>
                <w:bCs/>
                <w:i w:val="0"/>
                <w:iCs w:val="0"/>
                <w:color w:val="000000"/>
                <w:sz w:val="24"/>
                <w:szCs w:val="24"/>
                <w:u w:val="none"/>
              </w:rPr>
            </w:pPr>
          </w:p>
        </w:tc>
      </w:tr>
      <w:tr>
        <w:tblPrEx>
          <w:shd w:val="clear" w:color="auto" w:fill="auto"/>
          <w:tblCellMar>
            <w:top w:w="0" w:type="dxa"/>
            <w:left w:w="108" w:type="dxa"/>
            <w:bottom w:w="0" w:type="dxa"/>
            <w:right w:w="108" w:type="dxa"/>
          </w:tblCellMar>
        </w:tblPrEx>
        <w:trPr>
          <w:trHeight w:val="208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5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通用指标</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项目决策</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制度完备</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项目指导意见、管理办法、实施细则等管理制度是否完善，是否存在脱离实际、缺陷、漏洞导致执行偏离预期</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46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发现一处扣3分，直至扣完</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主要查看项目的相关管理制度机制是否健全完善，在项目执行过程中，是否存在管理制度有悖于实际的情况，是否存在难以操作、无法落地、执行不畅的情况，是否存在不能满足实际需求，未及时动态调整的情况</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25</w:t>
            </w:r>
          </w:p>
        </w:tc>
        <w:tc>
          <w:tcPr>
            <w:tcW w:w="981"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234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使用合规</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项目资金使用是否符合相关的财务管理制度规定</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缺（错）项扣分法</w:t>
            </w:r>
          </w:p>
        </w:tc>
        <w:tc>
          <w:tcPr>
            <w:tcW w:w="46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发现一处扣2分，直至扣完</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项目资金是否符合国家财经法规和财务管理制度及有关专项资金管理办法规定；资金支付是否有完整的审批程序和手续；是否符合项目预算批复或合同规定用途；是否存在截留、挤占、挪用、虚列支出等情况</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w:t>
            </w:r>
          </w:p>
        </w:tc>
        <w:tc>
          <w:tcPr>
            <w:tcW w:w="98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11月后支付金额占全年支付金额比重较高，为55%</w:t>
            </w:r>
          </w:p>
        </w:tc>
      </w:tr>
      <w:tr>
        <w:tblPrEx>
          <w:shd w:val="clear" w:color="auto" w:fill="auto"/>
          <w:tblCellMar>
            <w:top w:w="0" w:type="dxa"/>
            <w:left w:w="108" w:type="dxa"/>
            <w:bottom w:w="0" w:type="dxa"/>
            <w:right w:w="108" w:type="dxa"/>
          </w:tblCellMar>
        </w:tblPrEx>
        <w:trPr>
          <w:trHeight w:val="135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资金使用率</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项目资金支付使用情况</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6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指标得分=资金实际使用金额/项目预算资金金额×100%*指标分值</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主要查看财政资金实际支付使用，是否存在因制度机制、操作流程、管理疏漏、数据缺失等导致的资金结余，闲置浪费的情况</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98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预算执行率100%</w:t>
            </w:r>
          </w:p>
        </w:tc>
      </w:tr>
      <w:tr>
        <w:tblPrEx>
          <w:shd w:val="clear" w:color="auto" w:fill="auto"/>
          <w:tblCellMar>
            <w:top w:w="0" w:type="dxa"/>
            <w:left w:w="108" w:type="dxa"/>
            <w:bottom w:w="0" w:type="dxa"/>
            <w:right w:w="108" w:type="dxa"/>
          </w:tblCellMar>
        </w:tblPrEx>
        <w:trPr>
          <w:trHeight w:val="96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完成结果</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目标完成</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项目实施后是否完成预期目标</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6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指标得分=实际完成任务量/绩效目标设定任务量×100%*指标分值  </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主要查看项目实施后产出数量指标完成情况。</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98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全部完成</w:t>
            </w:r>
          </w:p>
        </w:tc>
      </w:tr>
      <w:tr>
        <w:tblPrEx>
          <w:shd w:val="clear" w:color="auto" w:fill="auto"/>
          <w:tblCellMar>
            <w:top w:w="0" w:type="dxa"/>
            <w:left w:w="108" w:type="dxa"/>
            <w:bottom w:w="0" w:type="dxa"/>
            <w:right w:w="108" w:type="dxa"/>
          </w:tblCellMar>
        </w:tblPrEx>
        <w:trPr>
          <w:trHeight w:val="82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违规记录</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项目管理是否合规</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不合规</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3处及以上不合规</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2处不合规</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1处不合规</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合规</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根据审计监督、财政检查结果反映项目管理是否合规</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81"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shd w:val="clear" w:color="auto" w:fill="auto"/>
          <w:tblCellMar>
            <w:top w:w="0" w:type="dxa"/>
            <w:left w:w="108" w:type="dxa"/>
            <w:bottom w:w="0" w:type="dxa"/>
            <w:right w:w="108" w:type="dxa"/>
          </w:tblCellMar>
        </w:tblPrEx>
        <w:trPr>
          <w:trHeight w:val="140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15</w:t>
            </w: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项目效果</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相关群体满意度调查情况</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比率分值法</w:t>
            </w:r>
          </w:p>
        </w:tc>
        <w:tc>
          <w:tcPr>
            <w:tcW w:w="460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根据实际满意度与满意度标准值的比率计算指标得分</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主要考察项目相关方在政策实施过程中的满意值，通过不满意情况汇总分析政策在顶层设计、制度构建、管理实施及成效各环节的情况</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14.7</w:t>
            </w:r>
          </w:p>
        </w:tc>
        <w:tc>
          <w:tcPr>
            <w:tcW w:w="981" w:type="dxa"/>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满意度98%</w:t>
            </w:r>
          </w:p>
        </w:tc>
      </w:tr>
      <w:tr>
        <w:tblPrEx>
          <w:shd w:val="clear" w:color="auto" w:fill="auto"/>
          <w:tblCellMar>
            <w:top w:w="0" w:type="dxa"/>
            <w:left w:w="108" w:type="dxa"/>
            <w:bottom w:w="0" w:type="dxa"/>
            <w:right w:w="108" w:type="dxa"/>
          </w:tblCellMar>
        </w:tblPrEx>
        <w:trPr>
          <w:trHeight w:val="1300" w:hRule="atLeast"/>
        </w:trPr>
        <w:tc>
          <w:tcPr>
            <w:tcW w:w="507" w:type="dxa"/>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w:t>
            </w:r>
          </w:p>
        </w:tc>
        <w:tc>
          <w:tcPr>
            <w:tcW w:w="5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5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服务质量提升</w:t>
            </w:r>
          </w:p>
        </w:tc>
        <w:tc>
          <w:tcPr>
            <w:tcW w:w="1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反映服务质量情况</w:t>
            </w:r>
          </w:p>
        </w:tc>
        <w:tc>
          <w:tcPr>
            <w:tcW w:w="8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分级评分法</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差</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较差</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一般</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较好</w:t>
            </w:r>
          </w:p>
        </w:tc>
        <w:tc>
          <w:tcPr>
            <w:tcW w:w="9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好</w:t>
            </w:r>
          </w:p>
        </w:tc>
        <w:tc>
          <w:tcPr>
            <w:tcW w:w="27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主要考察在疫情防控常态化下，为办公厅260多名离退休干部职工提供优质服务，确保离退休老同志生活顺心，安度晚年。</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w:t>
            </w:r>
          </w:p>
        </w:tc>
        <w:tc>
          <w:tcPr>
            <w:tcW w:w="981" w:type="dxa"/>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r>
        <w:tblPrEx>
          <w:tblCellMar>
            <w:top w:w="0" w:type="dxa"/>
            <w:left w:w="108" w:type="dxa"/>
            <w:bottom w:w="0" w:type="dxa"/>
            <w:right w:w="108" w:type="dxa"/>
          </w:tblCellMar>
        </w:tblPrEx>
        <w:trPr>
          <w:trHeight w:val="540" w:hRule="atLeast"/>
        </w:trPr>
        <w:tc>
          <w:tcPr>
            <w:tcW w:w="507"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520"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100</w:t>
            </w:r>
          </w:p>
        </w:tc>
        <w:tc>
          <w:tcPr>
            <w:tcW w:w="53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54"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0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754"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19"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42"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1016"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877"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00"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969"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2758"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73"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519" w:type="dxa"/>
            <w:tcBorders>
              <w:top w:val="single" w:color="000000" w:sz="4" w:space="0"/>
              <w:left w:val="single" w:color="000000" w:sz="4" w:space="0"/>
              <w:bottom w:val="single" w:color="000000" w:sz="8" w:space="0"/>
              <w:right w:val="single" w:color="000000" w:sz="4" w:space="0"/>
            </w:tcBorders>
            <w:shd w:val="clear" w:color="auto" w:fill="auto"/>
            <w:vAlign w:val="center"/>
          </w:tcPr>
          <w:p>
            <w:pPr>
              <w:jc w:val="center"/>
              <w:rPr>
                <w:rFonts w:hint="eastAsia" w:ascii="仿宋" w:hAnsi="仿宋" w:eastAsia="仿宋" w:cs="仿宋"/>
                <w:i w:val="0"/>
                <w:iCs w:val="0"/>
                <w:color w:val="000000"/>
                <w:sz w:val="22"/>
                <w:szCs w:val="22"/>
                <w:u w:val="none"/>
              </w:rPr>
            </w:pPr>
          </w:p>
        </w:tc>
        <w:tc>
          <w:tcPr>
            <w:tcW w:w="738" w:type="dxa"/>
            <w:tcBorders>
              <w:top w:val="single" w:color="000000" w:sz="4" w:space="0"/>
              <w:left w:val="single" w:color="000000" w:sz="4" w:space="0"/>
              <w:bottom w:val="single" w:color="000000" w:sz="8"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97.7</w:t>
            </w:r>
          </w:p>
        </w:tc>
        <w:tc>
          <w:tcPr>
            <w:tcW w:w="981" w:type="dxa"/>
            <w:tcBorders>
              <w:top w:val="single" w:color="000000" w:sz="4" w:space="0"/>
              <w:left w:val="single" w:color="000000" w:sz="4" w:space="0"/>
              <w:bottom w:val="single" w:color="000000" w:sz="8" w:space="0"/>
              <w:right w:val="single" w:color="000000" w:sz="8" w:space="0"/>
            </w:tcBorders>
            <w:shd w:val="clear" w:color="auto" w:fill="auto"/>
            <w:vAlign w:val="center"/>
          </w:tcPr>
          <w:p>
            <w:pPr>
              <w:jc w:val="center"/>
              <w:rPr>
                <w:rFonts w:hint="eastAsia" w:ascii="仿宋" w:hAnsi="仿宋" w:eastAsia="仿宋" w:cs="仿宋"/>
                <w:i w:val="0"/>
                <w:iCs w:val="0"/>
                <w:color w:val="000000"/>
                <w:sz w:val="22"/>
                <w:szCs w:val="22"/>
                <w:u w:val="none"/>
              </w:rPr>
            </w:pPr>
          </w:p>
        </w:tc>
      </w:tr>
    </w:tbl>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Fonts w:hint="default" w:ascii="Times New Roman" w:hAnsi="Times New Roman" w:eastAsia="黑体" w:cs="Times New Roman"/>
          <w:b/>
          <w:bCs/>
          <w:color w:val="000000"/>
          <w:sz w:val="44"/>
          <w:szCs w:val="44"/>
        </w:rPr>
        <w:sectPr>
          <w:pgSz w:w="16838" w:h="11906" w:orient="landscape"/>
          <w:pgMar w:top="1800" w:right="1440" w:bottom="1800" w:left="1440" w:header="851" w:footer="992" w:gutter="0"/>
          <w:cols w:space="425" w:num="1"/>
          <w:titlePg/>
          <w:docGrid w:type="lines" w:linePitch="312" w:charSpace="0"/>
        </w:sectPr>
      </w:pPr>
    </w:p>
    <w:p>
      <w:pPr>
        <w:pageBreakBefore w:val="0"/>
        <w:widowControl w:val="0"/>
        <w:kinsoku/>
        <w:wordWrap/>
        <w:overflowPunct/>
        <w:topLinePunct w:val="0"/>
        <w:autoSpaceDE/>
        <w:autoSpaceDN/>
        <w:bidi w:val="0"/>
        <w:adjustRightInd w:val="0"/>
        <w:snapToGrid w:val="0"/>
        <w:spacing w:line="600" w:lineRule="exact"/>
        <w:jc w:val="center"/>
        <w:textAlignment w:val="auto"/>
        <w:outlineLvl w:val="0"/>
        <w:rPr>
          <w:rStyle w:val="25"/>
          <w:rFonts w:hint="default" w:ascii="Times New Roman" w:hAnsi="Times New Roman" w:eastAsia="黑体" w:cs="Times New Roman"/>
          <w:b/>
          <w:bCs/>
        </w:rPr>
      </w:pPr>
      <w:bookmarkStart w:id="87" w:name="_Toc30766"/>
      <w:r>
        <w:rPr>
          <w:rFonts w:hint="default" w:ascii="Times New Roman" w:hAnsi="Times New Roman" w:eastAsia="黑体" w:cs="Times New Roman"/>
          <w:b/>
          <w:bCs/>
          <w:color w:val="000000"/>
          <w:sz w:val="44"/>
          <w:szCs w:val="44"/>
        </w:rPr>
        <w:t>第</w:t>
      </w:r>
      <w:r>
        <w:rPr>
          <w:rStyle w:val="25"/>
          <w:rFonts w:hint="default" w:ascii="Times New Roman" w:hAnsi="Times New Roman" w:eastAsia="黑体" w:cs="Times New Roman"/>
          <w:b/>
          <w:bCs/>
        </w:rPr>
        <w:t>五部分 附表</w:t>
      </w:r>
      <w:bookmarkEnd w:id="78"/>
      <w:bookmarkEnd w:id="87"/>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88" w:name="_Toc4919"/>
      <w:r>
        <w:rPr>
          <w:rFonts w:hint="eastAsia" w:ascii="仿宋" w:hAnsi="仿宋" w:eastAsia="仿宋" w:cs="仿宋"/>
          <w:b/>
          <w:bCs/>
          <w:color w:val="000000"/>
        </w:rPr>
        <w:t>一、收</w:t>
      </w:r>
      <w:r>
        <w:rPr>
          <w:rStyle w:val="26"/>
          <w:rFonts w:hint="eastAsia" w:ascii="仿宋" w:hAnsi="仿宋" w:eastAsia="仿宋" w:cs="仿宋"/>
          <w:b/>
          <w:bCs/>
        </w:rPr>
        <w:t>入支出决算总表</w:t>
      </w:r>
      <w:bookmarkEnd w:id="88"/>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89" w:name="_Toc27781"/>
      <w:r>
        <w:rPr>
          <w:rFonts w:hint="eastAsia" w:ascii="仿宋" w:hAnsi="仿宋" w:eastAsia="仿宋" w:cs="仿宋"/>
          <w:b/>
          <w:bCs/>
          <w:color w:val="000000"/>
        </w:rPr>
        <w:t>二、收</w:t>
      </w:r>
      <w:r>
        <w:rPr>
          <w:rStyle w:val="26"/>
          <w:rFonts w:hint="eastAsia" w:ascii="仿宋" w:hAnsi="仿宋" w:eastAsia="仿宋" w:cs="仿宋"/>
          <w:b/>
          <w:bCs/>
        </w:rPr>
        <w:t>入</w:t>
      </w:r>
      <w:r>
        <w:rPr>
          <w:rStyle w:val="26"/>
          <w:rFonts w:hint="eastAsia" w:ascii="仿宋" w:hAnsi="仿宋" w:eastAsia="仿宋" w:cs="仿宋"/>
          <w:b/>
          <w:bCs/>
          <w:lang w:eastAsia="zh-CN"/>
        </w:rPr>
        <w:t>决算</w:t>
      </w:r>
      <w:r>
        <w:rPr>
          <w:rStyle w:val="26"/>
          <w:rFonts w:hint="eastAsia" w:ascii="仿宋" w:hAnsi="仿宋" w:eastAsia="仿宋" w:cs="仿宋"/>
          <w:b/>
          <w:bCs/>
        </w:rPr>
        <w:t>表</w:t>
      </w:r>
      <w:bookmarkEnd w:id="89"/>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0" w:name="_Toc25105"/>
      <w:r>
        <w:rPr>
          <w:rStyle w:val="26"/>
          <w:rFonts w:hint="eastAsia" w:ascii="仿宋" w:hAnsi="仿宋" w:eastAsia="仿宋" w:cs="仿宋"/>
          <w:b/>
          <w:bCs/>
        </w:rPr>
        <w:t>三、</w:t>
      </w:r>
      <w:r>
        <w:rPr>
          <w:rFonts w:hint="eastAsia" w:ascii="仿宋" w:hAnsi="仿宋" w:eastAsia="仿宋" w:cs="仿宋"/>
          <w:b/>
          <w:bCs/>
          <w:color w:val="000000"/>
        </w:rPr>
        <w:t>支</w:t>
      </w:r>
      <w:r>
        <w:rPr>
          <w:rStyle w:val="26"/>
          <w:rFonts w:hint="eastAsia" w:ascii="仿宋" w:hAnsi="仿宋" w:eastAsia="仿宋" w:cs="仿宋"/>
          <w:b/>
          <w:bCs/>
        </w:rPr>
        <w:t>出</w:t>
      </w:r>
      <w:r>
        <w:rPr>
          <w:rStyle w:val="26"/>
          <w:rFonts w:hint="eastAsia" w:ascii="仿宋" w:hAnsi="仿宋" w:eastAsia="仿宋" w:cs="仿宋"/>
          <w:b/>
          <w:bCs/>
          <w:lang w:eastAsia="zh-CN"/>
        </w:rPr>
        <w:t>决算</w:t>
      </w:r>
      <w:r>
        <w:rPr>
          <w:rStyle w:val="26"/>
          <w:rFonts w:hint="eastAsia" w:ascii="仿宋" w:hAnsi="仿宋" w:eastAsia="仿宋" w:cs="仿宋"/>
          <w:b/>
          <w:bCs/>
        </w:rPr>
        <w:t>表</w:t>
      </w:r>
      <w:bookmarkEnd w:id="90"/>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1" w:name="_Toc15095"/>
      <w:r>
        <w:rPr>
          <w:rStyle w:val="26"/>
          <w:rFonts w:hint="eastAsia" w:ascii="仿宋" w:hAnsi="仿宋" w:eastAsia="仿宋" w:cs="仿宋"/>
          <w:b/>
          <w:bCs/>
        </w:rPr>
        <w:t>四、</w:t>
      </w:r>
      <w:r>
        <w:rPr>
          <w:rFonts w:hint="eastAsia" w:ascii="仿宋" w:hAnsi="仿宋" w:eastAsia="仿宋" w:cs="仿宋"/>
          <w:b/>
          <w:bCs/>
          <w:color w:val="000000"/>
        </w:rPr>
        <w:t>财</w:t>
      </w:r>
      <w:r>
        <w:rPr>
          <w:rStyle w:val="26"/>
          <w:rFonts w:hint="eastAsia" w:ascii="仿宋" w:hAnsi="仿宋" w:eastAsia="仿宋" w:cs="仿宋"/>
          <w:b/>
          <w:bCs/>
        </w:rPr>
        <w:t>政拨款收入支出决算总表</w:t>
      </w:r>
      <w:bookmarkEnd w:id="91"/>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2" w:name="_Toc2513"/>
      <w:r>
        <w:rPr>
          <w:rStyle w:val="26"/>
          <w:rFonts w:hint="eastAsia" w:ascii="仿宋" w:hAnsi="仿宋" w:eastAsia="仿宋" w:cs="仿宋"/>
          <w:b/>
          <w:bCs/>
        </w:rPr>
        <w:t>五、</w:t>
      </w:r>
      <w:r>
        <w:rPr>
          <w:rFonts w:hint="eastAsia" w:ascii="仿宋" w:hAnsi="仿宋" w:eastAsia="仿宋" w:cs="仿宋"/>
          <w:b/>
          <w:bCs/>
          <w:color w:val="000000"/>
        </w:rPr>
        <w:t>财</w:t>
      </w:r>
      <w:r>
        <w:rPr>
          <w:rStyle w:val="26"/>
          <w:rFonts w:hint="eastAsia" w:ascii="仿宋" w:hAnsi="仿宋" w:eastAsia="仿宋" w:cs="仿宋"/>
          <w:b/>
          <w:bCs/>
        </w:rPr>
        <w:t>政拨款支出决算明细表</w:t>
      </w:r>
      <w:bookmarkEnd w:id="92"/>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3" w:name="_Toc15887"/>
      <w:r>
        <w:rPr>
          <w:rStyle w:val="26"/>
          <w:rFonts w:hint="eastAsia" w:ascii="仿宋" w:hAnsi="仿宋" w:eastAsia="仿宋" w:cs="仿宋"/>
          <w:b/>
          <w:bCs/>
        </w:rPr>
        <w:t>六、</w:t>
      </w:r>
      <w:r>
        <w:rPr>
          <w:rFonts w:hint="eastAsia" w:ascii="仿宋" w:hAnsi="仿宋" w:eastAsia="仿宋" w:cs="仿宋"/>
          <w:b/>
          <w:bCs/>
          <w:color w:val="000000"/>
        </w:rPr>
        <w:t>一</w:t>
      </w:r>
      <w:r>
        <w:rPr>
          <w:rStyle w:val="26"/>
          <w:rFonts w:hint="eastAsia" w:ascii="仿宋" w:hAnsi="仿宋" w:eastAsia="仿宋" w:cs="仿宋"/>
          <w:b/>
          <w:bCs/>
        </w:rPr>
        <w:t>般公共预算财政拨款支出决算表</w:t>
      </w:r>
      <w:bookmarkEnd w:id="93"/>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4" w:name="_Toc30375"/>
      <w:r>
        <w:rPr>
          <w:rStyle w:val="26"/>
          <w:rFonts w:hint="eastAsia" w:ascii="仿宋" w:hAnsi="仿宋" w:eastAsia="仿宋" w:cs="仿宋"/>
          <w:b/>
          <w:bCs/>
        </w:rPr>
        <w:t>七、</w:t>
      </w:r>
      <w:r>
        <w:rPr>
          <w:rFonts w:hint="eastAsia" w:ascii="仿宋" w:hAnsi="仿宋" w:eastAsia="仿宋" w:cs="仿宋"/>
          <w:b/>
          <w:bCs/>
          <w:color w:val="000000"/>
        </w:rPr>
        <w:t>一</w:t>
      </w:r>
      <w:r>
        <w:rPr>
          <w:rStyle w:val="26"/>
          <w:rFonts w:hint="eastAsia" w:ascii="仿宋" w:hAnsi="仿宋" w:eastAsia="仿宋" w:cs="仿宋"/>
          <w:b/>
          <w:bCs/>
        </w:rPr>
        <w:t>般公共预算财政拨款支出决算明细表</w:t>
      </w:r>
      <w:bookmarkEnd w:id="94"/>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5" w:name="_Toc26074"/>
      <w:r>
        <w:rPr>
          <w:rStyle w:val="26"/>
          <w:rFonts w:hint="eastAsia" w:ascii="仿宋" w:hAnsi="仿宋" w:eastAsia="仿宋" w:cs="仿宋"/>
          <w:b/>
          <w:bCs/>
        </w:rPr>
        <w:t>八、</w:t>
      </w:r>
      <w:r>
        <w:rPr>
          <w:rFonts w:hint="eastAsia" w:ascii="仿宋" w:hAnsi="仿宋" w:eastAsia="仿宋" w:cs="仿宋"/>
          <w:b/>
          <w:bCs/>
          <w:color w:val="000000"/>
        </w:rPr>
        <w:t>一</w:t>
      </w:r>
      <w:r>
        <w:rPr>
          <w:rStyle w:val="26"/>
          <w:rFonts w:hint="eastAsia" w:ascii="仿宋" w:hAnsi="仿宋" w:eastAsia="仿宋" w:cs="仿宋"/>
          <w:b/>
          <w:bCs/>
        </w:rPr>
        <w:t>般公共预算财政拨款基本支出决算表</w:t>
      </w:r>
      <w:bookmarkEnd w:id="95"/>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6" w:name="_Toc17021"/>
      <w:r>
        <w:rPr>
          <w:rStyle w:val="26"/>
          <w:rFonts w:hint="eastAsia" w:ascii="仿宋" w:hAnsi="仿宋" w:eastAsia="仿宋" w:cs="仿宋"/>
          <w:b/>
          <w:bCs/>
        </w:rPr>
        <w:t>九、</w:t>
      </w:r>
      <w:r>
        <w:rPr>
          <w:rFonts w:hint="eastAsia" w:ascii="仿宋" w:hAnsi="仿宋" w:eastAsia="仿宋" w:cs="仿宋"/>
          <w:b/>
          <w:bCs/>
          <w:color w:val="000000"/>
        </w:rPr>
        <w:t>一</w:t>
      </w:r>
      <w:r>
        <w:rPr>
          <w:rStyle w:val="26"/>
          <w:rFonts w:hint="eastAsia" w:ascii="仿宋" w:hAnsi="仿宋" w:eastAsia="仿宋" w:cs="仿宋"/>
          <w:b/>
          <w:bCs/>
        </w:rPr>
        <w:t>般公共预算财政拨款项目支出决算表</w:t>
      </w:r>
      <w:bookmarkEnd w:id="96"/>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7" w:name="_Toc3659"/>
      <w:r>
        <w:rPr>
          <w:rStyle w:val="26"/>
          <w:rFonts w:hint="eastAsia" w:ascii="仿宋" w:hAnsi="仿宋" w:eastAsia="仿宋" w:cs="仿宋"/>
          <w:b/>
          <w:bCs/>
        </w:rPr>
        <w:t>十、</w:t>
      </w:r>
      <w:r>
        <w:rPr>
          <w:rFonts w:hint="eastAsia" w:ascii="仿宋" w:hAnsi="仿宋" w:eastAsia="仿宋" w:cs="仿宋"/>
          <w:b/>
          <w:bCs/>
          <w:color w:val="000000"/>
        </w:rPr>
        <w:t>一</w:t>
      </w:r>
      <w:r>
        <w:rPr>
          <w:rStyle w:val="26"/>
          <w:rFonts w:hint="eastAsia" w:ascii="仿宋" w:hAnsi="仿宋" w:eastAsia="仿宋" w:cs="仿宋"/>
          <w:b/>
          <w:bCs/>
        </w:rPr>
        <w:t>般公共预算财政拨款“三公”经费支出决算表</w:t>
      </w:r>
      <w:bookmarkEnd w:id="97"/>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8" w:name="_Toc9322"/>
      <w:r>
        <w:rPr>
          <w:rStyle w:val="26"/>
          <w:rFonts w:hint="eastAsia" w:ascii="仿宋" w:hAnsi="仿宋" w:eastAsia="仿宋" w:cs="仿宋"/>
          <w:b/>
          <w:bCs/>
        </w:rPr>
        <w:t>十一、</w:t>
      </w:r>
      <w:r>
        <w:rPr>
          <w:rFonts w:hint="eastAsia" w:ascii="仿宋" w:hAnsi="仿宋" w:eastAsia="仿宋" w:cs="仿宋"/>
          <w:b/>
          <w:bCs/>
          <w:color w:val="000000"/>
        </w:rPr>
        <w:t>政</w:t>
      </w:r>
      <w:r>
        <w:rPr>
          <w:rStyle w:val="26"/>
          <w:rFonts w:hint="eastAsia" w:ascii="仿宋" w:hAnsi="仿宋" w:eastAsia="仿宋" w:cs="仿宋"/>
          <w:b/>
          <w:bCs/>
        </w:rPr>
        <w:t>府性基金预算财政拨款收入支出决算表</w:t>
      </w:r>
      <w:bookmarkEnd w:id="98"/>
    </w:p>
    <w:p>
      <w:pPr>
        <w:pStyle w:val="3"/>
        <w:pageBreakBefore w:val="0"/>
        <w:widowControl w:val="0"/>
        <w:kinsoku/>
        <w:wordWrap/>
        <w:overflowPunct/>
        <w:topLinePunct w:val="0"/>
        <w:autoSpaceDE/>
        <w:autoSpaceDN/>
        <w:bidi w:val="0"/>
        <w:adjustRightInd w:val="0"/>
        <w:snapToGrid w:val="0"/>
        <w:spacing w:line="600" w:lineRule="exact"/>
        <w:textAlignment w:val="auto"/>
        <w:rPr>
          <w:rFonts w:hint="eastAsia" w:ascii="仿宋" w:hAnsi="仿宋" w:eastAsia="仿宋" w:cs="仿宋"/>
          <w:b/>
          <w:bCs/>
          <w:color w:val="000000"/>
        </w:rPr>
      </w:pPr>
      <w:bookmarkStart w:id="99" w:name="_Toc22886"/>
      <w:r>
        <w:rPr>
          <w:rStyle w:val="26"/>
          <w:rFonts w:hint="eastAsia" w:ascii="仿宋" w:hAnsi="仿宋" w:eastAsia="仿宋" w:cs="仿宋"/>
          <w:b/>
          <w:bCs/>
        </w:rPr>
        <w:t>十二、</w:t>
      </w:r>
      <w:r>
        <w:rPr>
          <w:rFonts w:hint="eastAsia" w:ascii="仿宋" w:hAnsi="仿宋" w:eastAsia="仿宋" w:cs="仿宋"/>
          <w:b/>
          <w:bCs/>
          <w:color w:val="000000"/>
        </w:rPr>
        <w:t>政</w:t>
      </w:r>
      <w:r>
        <w:rPr>
          <w:rStyle w:val="26"/>
          <w:rFonts w:hint="eastAsia" w:ascii="仿宋" w:hAnsi="仿宋" w:eastAsia="仿宋" w:cs="仿宋"/>
          <w:b/>
          <w:bCs/>
        </w:rPr>
        <w:t>府性基金预算财政拨款“三公”经费支出决算表</w:t>
      </w:r>
      <w:bookmarkEnd w:id="99"/>
    </w:p>
    <w:p>
      <w:pPr>
        <w:pStyle w:val="3"/>
        <w:pageBreakBefore w:val="0"/>
        <w:widowControl w:val="0"/>
        <w:kinsoku/>
        <w:wordWrap/>
        <w:overflowPunct/>
        <w:topLinePunct w:val="0"/>
        <w:autoSpaceDE/>
        <w:autoSpaceDN/>
        <w:bidi w:val="0"/>
        <w:adjustRightInd w:val="0"/>
        <w:snapToGrid w:val="0"/>
        <w:spacing w:line="600" w:lineRule="exact"/>
        <w:textAlignment w:val="auto"/>
        <w:rPr>
          <w:rStyle w:val="26"/>
          <w:rFonts w:hint="eastAsia" w:ascii="仿宋" w:hAnsi="仿宋" w:eastAsia="仿宋" w:cs="仿宋"/>
          <w:b/>
          <w:bCs/>
        </w:rPr>
      </w:pPr>
      <w:bookmarkStart w:id="100" w:name="_Toc26780"/>
      <w:r>
        <w:rPr>
          <w:rStyle w:val="26"/>
          <w:rFonts w:hint="eastAsia" w:ascii="仿宋" w:hAnsi="仿宋" w:eastAsia="仿宋" w:cs="仿宋"/>
          <w:b/>
          <w:bCs/>
        </w:rPr>
        <w:t>十三、</w:t>
      </w:r>
      <w:r>
        <w:rPr>
          <w:rFonts w:hint="eastAsia" w:ascii="仿宋" w:hAnsi="仿宋" w:eastAsia="仿宋"/>
          <w:b/>
          <w:bCs w:val="0"/>
          <w:color w:val="000000"/>
        </w:rPr>
        <w:t>国</w:t>
      </w:r>
      <w:r>
        <w:rPr>
          <w:rStyle w:val="26"/>
          <w:rFonts w:hint="eastAsia" w:ascii="仿宋" w:hAnsi="仿宋" w:eastAsia="仿宋"/>
          <w:b/>
          <w:bCs w:val="0"/>
        </w:rPr>
        <w:t>有资本经营预算</w:t>
      </w:r>
      <w:r>
        <w:rPr>
          <w:rStyle w:val="26"/>
          <w:rFonts w:hint="eastAsia" w:ascii="仿宋" w:hAnsi="仿宋" w:eastAsia="仿宋"/>
          <w:b/>
          <w:bCs w:val="0"/>
          <w:lang w:eastAsia="zh-CN"/>
        </w:rPr>
        <w:t>财政拨款收入</w:t>
      </w:r>
      <w:r>
        <w:rPr>
          <w:rStyle w:val="26"/>
          <w:rFonts w:hint="eastAsia" w:ascii="仿宋" w:hAnsi="仿宋" w:eastAsia="仿宋"/>
          <w:b/>
          <w:bCs w:val="0"/>
        </w:rPr>
        <w:t>支出决算表</w:t>
      </w:r>
      <w:bookmarkEnd w:id="100"/>
    </w:p>
    <w:p>
      <w:pPr>
        <w:pStyle w:val="3"/>
        <w:pageBreakBefore w:val="0"/>
        <w:widowControl w:val="0"/>
        <w:kinsoku/>
        <w:wordWrap/>
        <w:overflowPunct/>
        <w:topLinePunct w:val="0"/>
        <w:autoSpaceDE/>
        <w:autoSpaceDN/>
        <w:bidi w:val="0"/>
        <w:adjustRightInd w:val="0"/>
        <w:snapToGrid w:val="0"/>
        <w:spacing w:line="600" w:lineRule="exact"/>
        <w:textAlignment w:val="auto"/>
        <w:rPr>
          <w:rStyle w:val="26"/>
          <w:rFonts w:hint="eastAsia" w:ascii="仿宋" w:hAnsi="仿宋" w:eastAsia="仿宋" w:cs="仿宋"/>
          <w:b/>
          <w:bCs/>
        </w:rPr>
      </w:pPr>
      <w:bookmarkStart w:id="101" w:name="_Toc13291"/>
      <w:r>
        <w:rPr>
          <w:rStyle w:val="26"/>
          <w:rFonts w:hint="eastAsia" w:ascii="仿宋" w:hAnsi="仿宋" w:eastAsia="仿宋" w:cs="仿宋"/>
          <w:b/>
          <w:bCs/>
        </w:rPr>
        <w:t>十</w:t>
      </w:r>
      <w:r>
        <w:rPr>
          <w:rStyle w:val="26"/>
          <w:rFonts w:hint="eastAsia" w:ascii="仿宋" w:hAnsi="仿宋" w:eastAsia="仿宋" w:cs="仿宋"/>
          <w:b/>
          <w:bCs/>
          <w:lang w:eastAsia="zh-CN"/>
        </w:rPr>
        <w:t>四</w:t>
      </w:r>
      <w:r>
        <w:rPr>
          <w:rStyle w:val="26"/>
          <w:rFonts w:hint="eastAsia" w:ascii="仿宋" w:hAnsi="仿宋" w:eastAsia="仿宋" w:cs="仿宋"/>
          <w:b/>
          <w:bCs/>
        </w:rPr>
        <w:t>、</w:t>
      </w:r>
      <w:r>
        <w:rPr>
          <w:rStyle w:val="26"/>
          <w:rFonts w:hint="eastAsia" w:ascii="仿宋" w:hAnsi="仿宋" w:eastAsia="仿宋"/>
          <w:b/>
          <w:bCs/>
          <w:lang w:eastAsia="zh-CN"/>
        </w:rPr>
        <w:t>国有资本经营预算财政拨款支出决算表</w:t>
      </w:r>
      <w:bookmarkEnd w:id="101"/>
    </w:p>
    <w:p>
      <w:pPr>
        <w:rPr>
          <w:rFonts w:hint="eastAsia"/>
        </w:rPr>
      </w:pPr>
    </w:p>
    <w:sectPr>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72C836-9FC7-46D8-91E5-848C9AC15888}"/>
  </w:font>
  <w:font w:name="Arial">
    <w:panose1 w:val="020B0604020202020204"/>
    <w:charset w:val="01"/>
    <w:family w:val="swiss"/>
    <w:pitch w:val="default"/>
    <w:sig w:usb0="E0002AFF" w:usb1="C0007843" w:usb2="00000009" w:usb3="00000000" w:csb0="400001FF" w:csb1="FFFF0000"/>
    <w:embedRegular r:id="rId2" w:fontKey="{0D72E9CC-EE9B-4945-B40A-A136392A52D3}"/>
  </w:font>
  <w:font w:name="黑体">
    <w:panose1 w:val="02010600030101010101"/>
    <w:charset w:val="86"/>
    <w:family w:val="auto"/>
    <w:pitch w:val="default"/>
    <w:sig w:usb0="800002BF" w:usb1="38CF7CFA" w:usb2="00000016" w:usb3="00000000" w:csb0="00040001" w:csb1="00000000"/>
    <w:embedRegular r:id="rId3" w:fontKey="{D9EC0F6A-0A5B-459F-AB41-386D72293DB0}"/>
  </w:font>
  <w:font w:name="Courier New">
    <w:panose1 w:val="02070309020205020404"/>
    <w:charset w:val="01"/>
    <w:family w:val="modern"/>
    <w:pitch w:val="default"/>
    <w:sig w:usb0="E0002AFF" w:usb1="C0007843" w:usb2="00000009" w:usb3="00000000" w:csb0="400001FF" w:csb1="FFFF0000"/>
    <w:embedRegular r:id="rId4" w:fontKey="{DD090D04-0B17-4707-BB51-BADBE46D6092}"/>
  </w:font>
  <w:font w:name="Symbol">
    <w:panose1 w:val="05050102010706020507"/>
    <w:charset w:val="02"/>
    <w:family w:val="roman"/>
    <w:pitch w:val="default"/>
    <w:sig w:usb0="00000000" w:usb1="00000000" w:usb2="00000000" w:usb3="00000000" w:csb0="80000000" w:csb1="00000000"/>
    <w:embedRegular r:id="rId5" w:fontKey="{7B8384BC-3054-4ACF-93FF-752D3371994A}"/>
  </w:font>
  <w:font w:name="Calibri">
    <w:panose1 w:val="020F0502020204030204"/>
    <w:charset w:val="00"/>
    <w:family w:val="swiss"/>
    <w:pitch w:val="default"/>
    <w:sig w:usb0="E00002FF" w:usb1="4000ACFF" w:usb2="00000001" w:usb3="00000000" w:csb0="2000019F" w:csb1="00000000"/>
    <w:embedRegular r:id="rId6" w:fontKey="{2C6F8CFB-A86F-42DC-8B27-324EFD887F4E}"/>
  </w:font>
  <w:font w:name="Cambria">
    <w:panose1 w:val="02040503050406030204"/>
    <w:charset w:val="00"/>
    <w:family w:val="roman"/>
    <w:pitch w:val="default"/>
    <w:sig w:usb0="E00002FF" w:usb1="400004FF" w:usb2="00000000" w:usb3="00000000" w:csb0="2000019F" w:csb1="00000000"/>
    <w:embedRegular r:id="rId7" w:fontKey="{C6042AB0-11E3-4BCF-BF3F-E6867B694522}"/>
  </w:font>
  <w:font w:name="仿宋_GB2312">
    <w:panose1 w:val="02010609030101010101"/>
    <w:charset w:val="86"/>
    <w:family w:val="modern"/>
    <w:pitch w:val="default"/>
    <w:sig w:usb0="00000001" w:usb1="080E0000" w:usb2="00000000" w:usb3="00000000" w:csb0="00040000" w:csb1="00000000"/>
    <w:embedRegular r:id="rId8" w:fontKey="{6D189F84-500B-44D0-9CBD-091B215AC5BD}"/>
  </w:font>
  <w:font w:name="仿宋">
    <w:panose1 w:val="02010609060101010101"/>
    <w:charset w:val="86"/>
    <w:family w:val="modern"/>
    <w:pitch w:val="default"/>
    <w:sig w:usb0="800002BF" w:usb1="38CF7CFA" w:usb2="00000016" w:usb3="00000000" w:csb0="00040001" w:csb1="00000000"/>
    <w:embedRegular r:id="rId9" w:fontKey="{7E638580-A5FD-41AB-969B-004EEF7E4B8A}"/>
  </w:font>
  <w:font w:name="楷体">
    <w:panose1 w:val="02010609060101010101"/>
    <w:charset w:val="86"/>
    <w:family w:val="auto"/>
    <w:pitch w:val="default"/>
    <w:sig w:usb0="800002BF" w:usb1="38CF7CFA" w:usb2="00000016" w:usb3="00000000" w:csb0="00040001" w:csb1="00000000"/>
    <w:embedRegular r:id="rId10" w:fontKey="{7CB75144-3D7A-4E59-B36D-888D0EAEFBD2}"/>
  </w:font>
  <w:font w:name="方正小标宋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11" w:fontKey="{E9253AC9-3586-43CF-8B0F-BD723A197090}"/>
  </w:font>
  <w:font w:name="方正楷体简体">
    <w:panose1 w:val="02010601030101010101"/>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docPartObj>
                              <w:docPartGallery w:val="autotext"/>
                            </w:docPartObj>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sdt>
                    <w:sdtPr>
                      <w:id w:val="-1994781956"/>
                      <w:docPartObj>
                        <w:docPartGallery w:val="autotext"/>
                      </w:docPartObj>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8"/>
      <w:tabs>
        <w:tab w:val="clear" w:pos="4153"/>
      </w:tabs>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94781956"/>
                            <w:docPartObj>
                              <w:docPartGallery w:val="autotext"/>
                            </w:docPartObj>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994781956"/>
                      <w:docPartObj>
                        <w:docPartGallery w:val="autotext"/>
                      </w:docPartObj>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txbxContent>
              </v:textbox>
            </v:shape>
          </w:pict>
        </mc:Fallback>
      </mc:AlternateContent>
    </w:r>
  </w:p>
  <w:p>
    <w:pPr>
      <w:pStyle w:val="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ind w:right="-962" w:rightChars="-45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652CEC"/>
    <w:multiLevelType w:val="singleLevel"/>
    <w:tmpl w:val="CF652CEC"/>
    <w:lvl w:ilvl="0" w:tentative="0">
      <w:start w:val="9"/>
      <w:numFmt w:val="chineseCounting"/>
      <w:suff w:val="nothing"/>
      <w:lvlText w:val="%1、"/>
      <w:lvlJc w:val="left"/>
      <w:rPr>
        <w:rFonts w:hint="eastAsia"/>
      </w:rPr>
    </w:lvl>
  </w:abstractNum>
  <w:abstractNum w:abstractNumId="1">
    <w:nsid w:val="E2FA047D"/>
    <w:multiLevelType w:val="singleLevel"/>
    <w:tmpl w:val="E2FA047D"/>
    <w:lvl w:ilvl="0" w:tentative="0">
      <w:start w:val="3"/>
      <w:numFmt w:val="chineseCounting"/>
      <w:suff w:val="space"/>
      <w:lvlText w:val="第%1部分"/>
      <w:lvlJc w:val="left"/>
      <w:rPr>
        <w:rFonts w:hint="eastAsia"/>
      </w:rPr>
    </w:lvl>
  </w:abstractNum>
  <w:abstractNum w:abstractNumId="2">
    <w:nsid w:val="EC0BEF30"/>
    <w:multiLevelType w:val="singleLevel"/>
    <w:tmpl w:val="EC0BEF30"/>
    <w:lvl w:ilvl="0" w:tentative="0">
      <w:start w:val="1"/>
      <w:numFmt w:val="chineseCounting"/>
      <w:suff w:val="nothing"/>
      <w:lvlText w:val="（%1）"/>
      <w:lvlJc w:val="left"/>
      <w:rPr>
        <w:rFonts w:hint="eastAsia" w:ascii="楷体_GB2312" w:hAnsi="楷体_GB2312" w:eastAsia="楷体_GB2312" w:cs="楷体_GB2312"/>
        <w:b/>
        <w:bCs/>
        <w:sz w:val="32"/>
        <w:szCs w:val="32"/>
      </w:rPr>
    </w:lvl>
  </w:abstractNum>
  <w:abstractNum w:abstractNumId="3">
    <w:nsid w:val="F09ACF31"/>
    <w:multiLevelType w:val="singleLevel"/>
    <w:tmpl w:val="F09ACF31"/>
    <w:lvl w:ilvl="0" w:tentative="0">
      <w:start w:val="1"/>
      <w:numFmt w:val="decimal"/>
      <w:suff w:val="space"/>
      <w:lvlText w:val="%1."/>
      <w:lvlJc w:val="left"/>
    </w:lvl>
  </w:abstractNum>
  <w:abstractNum w:abstractNumId="4">
    <w:nsid w:val="FBCB5F45"/>
    <w:multiLevelType w:val="singleLevel"/>
    <w:tmpl w:val="FBCB5F45"/>
    <w:lvl w:ilvl="0" w:tentative="0">
      <w:start w:val="1"/>
      <w:numFmt w:val="decimal"/>
      <w:lvlText w:val="%1."/>
      <w:lvlJc w:val="left"/>
      <w:pPr>
        <w:tabs>
          <w:tab w:val="left" w:pos="312"/>
        </w:tabs>
      </w:pPr>
    </w:lvl>
  </w:abstractNum>
  <w:abstractNum w:abstractNumId="5">
    <w:nsid w:val="09ECF7C4"/>
    <w:multiLevelType w:val="singleLevel"/>
    <w:tmpl w:val="09ECF7C4"/>
    <w:lvl w:ilvl="0" w:tentative="0">
      <w:start w:val="1"/>
      <w:numFmt w:val="decimal"/>
      <w:suff w:val="space"/>
      <w:lvlText w:val="%1."/>
      <w:lvlJc w:val="left"/>
    </w:lvl>
  </w:abstractNum>
  <w:abstractNum w:abstractNumId="6">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129807CF"/>
    <w:multiLevelType w:val="singleLevel"/>
    <w:tmpl w:val="129807CF"/>
    <w:lvl w:ilvl="0" w:tentative="0">
      <w:start w:val="3"/>
      <w:numFmt w:val="chineseCounting"/>
      <w:suff w:val="nothing"/>
      <w:lvlText w:val="%1、"/>
      <w:lvlJc w:val="left"/>
      <w:rPr>
        <w:rFonts w:hint="eastAsia"/>
      </w:rPr>
    </w:lvl>
  </w:abstractNum>
  <w:abstractNum w:abstractNumId="8">
    <w:nsid w:val="17F426B7"/>
    <w:multiLevelType w:val="multilevel"/>
    <w:tmpl w:val="17F426B7"/>
    <w:lvl w:ilvl="0" w:tentative="0">
      <w:start w:val="10"/>
      <w:numFmt w:val="japaneseCounting"/>
      <w:lvlText w:val="%1、"/>
      <w:lvlJc w:val="left"/>
      <w:pPr>
        <w:ind w:left="1429" w:hanging="72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9">
    <w:nsid w:val="1B4BCB90"/>
    <w:multiLevelType w:val="singleLevel"/>
    <w:tmpl w:val="1B4BCB90"/>
    <w:lvl w:ilvl="0" w:tentative="0">
      <w:start w:val="1"/>
      <w:numFmt w:val="decimal"/>
      <w:suff w:val="space"/>
      <w:lvlText w:val="%1."/>
      <w:lvlJc w:val="left"/>
    </w:lvl>
  </w:abstractNum>
  <w:abstractNum w:abstractNumId="10">
    <w:nsid w:val="3064A595"/>
    <w:multiLevelType w:val="singleLevel"/>
    <w:tmpl w:val="3064A595"/>
    <w:lvl w:ilvl="0" w:tentative="0">
      <w:start w:val="1"/>
      <w:numFmt w:val="chineseCounting"/>
      <w:suff w:val="nothing"/>
      <w:lvlText w:val="%1、"/>
      <w:lvlJc w:val="left"/>
      <w:rPr>
        <w:rFonts w:hint="eastAsia"/>
      </w:rPr>
    </w:lvl>
  </w:abstractNum>
  <w:abstractNum w:abstractNumId="11">
    <w:nsid w:val="68536731"/>
    <w:multiLevelType w:val="singleLevel"/>
    <w:tmpl w:val="68536731"/>
    <w:lvl w:ilvl="0" w:tentative="0">
      <w:start w:val="2"/>
      <w:numFmt w:val="decimal"/>
      <w:suff w:val="nothing"/>
      <w:lvlText w:val="（%1）"/>
      <w:lvlJc w:val="left"/>
      <w:rPr>
        <w:rFonts w:hint="default" w:ascii="仿宋" w:hAnsi="仿宋" w:eastAsia="仿宋" w:cs="仿宋"/>
      </w:rPr>
    </w:lvl>
  </w:abstractNum>
  <w:num w:numId="1">
    <w:abstractNumId w:val="7"/>
  </w:num>
  <w:num w:numId="2">
    <w:abstractNumId w:val="6"/>
  </w:num>
  <w:num w:numId="3">
    <w:abstractNumId w:val="4"/>
  </w:num>
  <w:num w:numId="4">
    <w:abstractNumId w:val="3"/>
  </w:num>
  <w:num w:numId="5">
    <w:abstractNumId w:val="9"/>
  </w:num>
  <w:num w:numId="6">
    <w:abstractNumId w:val="0"/>
  </w:num>
  <w:num w:numId="7">
    <w:abstractNumId w:val="8"/>
  </w:num>
  <w:num w:numId="8">
    <w:abstractNumId w:val="2"/>
  </w:num>
  <w:num w:numId="9">
    <w:abstractNumId w:val="5"/>
  </w:num>
  <w:num w:numId="10">
    <w:abstractNumId w:val="11"/>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Q1YWZiNDkwNzNhNDBiNDVmZGFiNWEwZWRjM2UwZDQifQ=="/>
  </w:docVars>
  <w:rsids>
    <w:rsidRoot w:val="00F1361C"/>
    <w:rsid w:val="000222C6"/>
    <w:rsid w:val="0002549F"/>
    <w:rsid w:val="0006487A"/>
    <w:rsid w:val="00065F8F"/>
    <w:rsid w:val="000768F2"/>
    <w:rsid w:val="0009184B"/>
    <w:rsid w:val="0009593C"/>
    <w:rsid w:val="000B047F"/>
    <w:rsid w:val="000B5923"/>
    <w:rsid w:val="000B5A48"/>
    <w:rsid w:val="000B6FF3"/>
    <w:rsid w:val="000C3467"/>
    <w:rsid w:val="000C3CA6"/>
    <w:rsid w:val="000D1267"/>
    <w:rsid w:val="000D1D50"/>
    <w:rsid w:val="000D5782"/>
    <w:rsid w:val="000E6613"/>
    <w:rsid w:val="000E7119"/>
    <w:rsid w:val="00114E9B"/>
    <w:rsid w:val="0014729F"/>
    <w:rsid w:val="00157BAB"/>
    <w:rsid w:val="001654D1"/>
    <w:rsid w:val="0018106D"/>
    <w:rsid w:val="001877A7"/>
    <w:rsid w:val="00191536"/>
    <w:rsid w:val="00196687"/>
    <w:rsid w:val="001C0962"/>
    <w:rsid w:val="001D7531"/>
    <w:rsid w:val="001E737D"/>
    <w:rsid w:val="001F0592"/>
    <w:rsid w:val="001F7506"/>
    <w:rsid w:val="002006CD"/>
    <w:rsid w:val="00202B36"/>
    <w:rsid w:val="00204B7A"/>
    <w:rsid w:val="0021101A"/>
    <w:rsid w:val="00220536"/>
    <w:rsid w:val="00235629"/>
    <w:rsid w:val="00260C38"/>
    <w:rsid w:val="002616C0"/>
    <w:rsid w:val="002662AA"/>
    <w:rsid w:val="00280496"/>
    <w:rsid w:val="00295495"/>
    <w:rsid w:val="002B2613"/>
    <w:rsid w:val="002F1818"/>
    <w:rsid w:val="002F567B"/>
    <w:rsid w:val="003216A9"/>
    <w:rsid w:val="0037013F"/>
    <w:rsid w:val="00380C92"/>
    <w:rsid w:val="003A484F"/>
    <w:rsid w:val="003B0BE0"/>
    <w:rsid w:val="003B0C1B"/>
    <w:rsid w:val="003B688C"/>
    <w:rsid w:val="003C0291"/>
    <w:rsid w:val="003C39AE"/>
    <w:rsid w:val="003C7B60"/>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8486E"/>
    <w:rsid w:val="0058649A"/>
    <w:rsid w:val="005B7FE4"/>
    <w:rsid w:val="005D1C8B"/>
    <w:rsid w:val="005D5CED"/>
    <w:rsid w:val="005F1A4C"/>
    <w:rsid w:val="00605688"/>
    <w:rsid w:val="006070AF"/>
    <w:rsid w:val="00607E6C"/>
    <w:rsid w:val="006101B1"/>
    <w:rsid w:val="00622830"/>
    <w:rsid w:val="00630AEF"/>
    <w:rsid w:val="006325F8"/>
    <w:rsid w:val="00634C9A"/>
    <w:rsid w:val="006440E4"/>
    <w:rsid w:val="0066343B"/>
    <w:rsid w:val="006748A4"/>
    <w:rsid w:val="00683E73"/>
    <w:rsid w:val="006A3141"/>
    <w:rsid w:val="006A5E34"/>
    <w:rsid w:val="006B2422"/>
    <w:rsid w:val="006B2B9A"/>
    <w:rsid w:val="006C1937"/>
    <w:rsid w:val="006F020C"/>
    <w:rsid w:val="007127B7"/>
    <w:rsid w:val="007416B6"/>
    <w:rsid w:val="00746F48"/>
    <w:rsid w:val="0075404D"/>
    <w:rsid w:val="0076182A"/>
    <w:rsid w:val="00766A53"/>
    <w:rsid w:val="00767B7E"/>
    <w:rsid w:val="007770C3"/>
    <w:rsid w:val="00784D24"/>
    <w:rsid w:val="00785FBA"/>
    <w:rsid w:val="00786E4A"/>
    <w:rsid w:val="007875EB"/>
    <w:rsid w:val="0079426B"/>
    <w:rsid w:val="007C6106"/>
    <w:rsid w:val="007D3F19"/>
    <w:rsid w:val="007F1991"/>
    <w:rsid w:val="007F2C2F"/>
    <w:rsid w:val="007F55FC"/>
    <w:rsid w:val="007F5665"/>
    <w:rsid w:val="00800112"/>
    <w:rsid w:val="008253BB"/>
    <w:rsid w:val="0083706E"/>
    <w:rsid w:val="008423A5"/>
    <w:rsid w:val="00850625"/>
    <w:rsid w:val="00853718"/>
    <w:rsid w:val="00855221"/>
    <w:rsid w:val="00860645"/>
    <w:rsid w:val="00871F71"/>
    <w:rsid w:val="00885AF4"/>
    <w:rsid w:val="008939CD"/>
    <w:rsid w:val="008B768C"/>
    <w:rsid w:val="008C4DB1"/>
    <w:rsid w:val="008C4EAF"/>
    <w:rsid w:val="008C5176"/>
    <w:rsid w:val="008C7FD0"/>
    <w:rsid w:val="008E1DE7"/>
    <w:rsid w:val="008E707C"/>
    <w:rsid w:val="008F2145"/>
    <w:rsid w:val="00900B08"/>
    <w:rsid w:val="00902155"/>
    <w:rsid w:val="00902FA3"/>
    <w:rsid w:val="00923564"/>
    <w:rsid w:val="0092392E"/>
    <w:rsid w:val="009315F9"/>
    <w:rsid w:val="00946945"/>
    <w:rsid w:val="00951248"/>
    <w:rsid w:val="0095152F"/>
    <w:rsid w:val="00954C49"/>
    <w:rsid w:val="0097099F"/>
    <w:rsid w:val="00971997"/>
    <w:rsid w:val="00971FFC"/>
    <w:rsid w:val="0098660A"/>
    <w:rsid w:val="009931C3"/>
    <w:rsid w:val="009968E7"/>
    <w:rsid w:val="009B2C43"/>
    <w:rsid w:val="009B4EAE"/>
    <w:rsid w:val="009B7573"/>
    <w:rsid w:val="009C22F4"/>
    <w:rsid w:val="009C2E98"/>
    <w:rsid w:val="009D3447"/>
    <w:rsid w:val="009D4711"/>
    <w:rsid w:val="009F1185"/>
    <w:rsid w:val="009F18CD"/>
    <w:rsid w:val="009F2A13"/>
    <w:rsid w:val="00A04EB0"/>
    <w:rsid w:val="00A13CC1"/>
    <w:rsid w:val="00A16847"/>
    <w:rsid w:val="00A268C4"/>
    <w:rsid w:val="00A307CD"/>
    <w:rsid w:val="00A40A00"/>
    <w:rsid w:val="00A4142F"/>
    <w:rsid w:val="00A56DF2"/>
    <w:rsid w:val="00A67AB5"/>
    <w:rsid w:val="00A91760"/>
    <w:rsid w:val="00A93B00"/>
    <w:rsid w:val="00A93C21"/>
    <w:rsid w:val="00AB2AC5"/>
    <w:rsid w:val="00AC3C6A"/>
    <w:rsid w:val="00AD5620"/>
    <w:rsid w:val="00AD7C1B"/>
    <w:rsid w:val="00AE16BA"/>
    <w:rsid w:val="00AE1EBE"/>
    <w:rsid w:val="00B03C9D"/>
    <w:rsid w:val="00B060AE"/>
    <w:rsid w:val="00B10517"/>
    <w:rsid w:val="00B1126D"/>
    <w:rsid w:val="00B14E76"/>
    <w:rsid w:val="00B161B8"/>
    <w:rsid w:val="00B2048C"/>
    <w:rsid w:val="00B310B9"/>
    <w:rsid w:val="00B35F3F"/>
    <w:rsid w:val="00B36CBB"/>
    <w:rsid w:val="00B425E0"/>
    <w:rsid w:val="00B440AA"/>
    <w:rsid w:val="00B44B70"/>
    <w:rsid w:val="00B53C56"/>
    <w:rsid w:val="00B77EA6"/>
    <w:rsid w:val="00B81598"/>
    <w:rsid w:val="00B841F1"/>
    <w:rsid w:val="00B844DC"/>
    <w:rsid w:val="00B944D6"/>
    <w:rsid w:val="00BB4DF0"/>
    <w:rsid w:val="00BC289F"/>
    <w:rsid w:val="00BC5361"/>
    <w:rsid w:val="00BC5460"/>
    <w:rsid w:val="00BC6B50"/>
    <w:rsid w:val="00BD0E25"/>
    <w:rsid w:val="00BF5BD6"/>
    <w:rsid w:val="00C03E31"/>
    <w:rsid w:val="00C33E72"/>
    <w:rsid w:val="00C354B2"/>
    <w:rsid w:val="00C35554"/>
    <w:rsid w:val="00C42709"/>
    <w:rsid w:val="00C525AE"/>
    <w:rsid w:val="00C533CC"/>
    <w:rsid w:val="00C5751C"/>
    <w:rsid w:val="00C61BFC"/>
    <w:rsid w:val="00C62B85"/>
    <w:rsid w:val="00C65438"/>
    <w:rsid w:val="00C91CBB"/>
    <w:rsid w:val="00CA6518"/>
    <w:rsid w:val="00CC09B6"/>
    <w:rsid w:val="00CC40E8"/>
    <w:rsid w:val="00CC666F"/>
    <w:rsid w:val="00CD1E3F"/>
    <w:rsid w:val="00CE44F6"/>
    <w:rsid w:val="00CE49DA"/>
    <w:rsid w:val="00CE7B61"/>
    <w:rsid w:val="00D00095"/>
    <w:rsid w:val="00D20620"/>
    <w:rsid w:val="00D26091"/>
    <w:rsid w:val="00D34E7C"/>
    <w:rsid w:val="00D35489"/>
    <w:rsid w:val="00D51276"/>
    <w:rsid w:val="00D7035F"/>
    <w:rsid w:val="00D952A2"/>
    <w:rsid w:val="00DA65AC"/>
    <w:rsid w:val="00DB1913"/>
    <w:rsid w:val="00DC410D"/>
    <w:rsid w:val="00DC68CA"/>
    <w:rsid w:val="00DC7CBA"/>
    <w:rsid w:val="00DD73B7"/>
    <w:rsid w:val="00DF28BC"/>
    <w:rsid w:val="00DF34B9"/>
    <w:rsid w:val="00E01053"/>
    <w:rsid w:val="00E07ACF"/>
    <w:rsid w:val="00E1237C"/>
    <w:rsid w:val="00E331A1"/>
    <w:rsid w:val="00E33202"/>
    <w:rsid w:val="00E336A9"/>
    <w:rsid w:val="00E50624"/>
    <w:rsid w:val="00E568DF"/>
    <w:rsid w:val="00E64269"/>
    <w:rsid w:val="00E82267"/>
    <w:rsid w:val="00EA010F"/>
    <w:rsid w:val="00ED1B63"/>
    <w:rsid w:val="00ED3C1F"/>
    <w:rsid w:val="00ED420E"/>
    <w:rsid w:val="00EE2F57"/>
    <w:rsid w:val="00EF4C34"/>
    <w:rsid w:val="00EF77C6"/>
    <w:rsid w:val="00F05438"/>
    <w:rsid w:val="00F1361C"/>
    <w:rsid w:val="00F160C7"/>
    <w:rsid w:val="00F36D8F"/>
    <w:rsid w:val="00F417B1"/>
    <w:rsid w:val="00F455DB"/>
    <w:rsid w:val="00F602DF"/>
    <w:rsid w:val="00F81FD9"/>
    <w:rsid w:val="00F841AA"/>
    <w:rsid w:val="00FA23E8"/>
    <w:rsid w:val="00FD3CC1"/>
    <w:rsid w:val="00FF1E02"/>
    <w:rsid w:val="00FF30B4"/>
    <w:rsid w:val="0134714E"/>
    <w:rsid w:val="015D74CC"/>
    <w:rsid w:val="017A49FE"/>
    <w:rsid w:val="017C721E"/>
    <w:rsid w:val="01825220"/>
    <w:rsid w:val="01826B3A"/>
    <w:rsid w:val="0185104E"/>
    <w:rsid w:val="019F7441"/>
    <w:rsid w:val="01B17741"/>
    <w:rsid w:val="01D1123D"/>
    <w:rsid w:val="01D55F13"/>
    <w:rsid w:val="01DC5193"/>
    <w:rsid w:val="01DE0F9E"/>
    <w:rsid w:val="01F462DE"/>
    <w:rsid w:val="021C53B8"/>
    <w:rsid w:val="023A70FE"/>
    <w:rsid w:val="024A3C5D"/>
    <w:rsid w:val="024C438C"/>
    <w:rsid w:val="02576AB9"/>
    <w:rsid w:val="02675CE5"/>
    <w:rsid w:val="027B0085"/>
    <w:rsid w:val="029134F5"/>
    <w:rsid w:val="02A2527F"/>
    <w:rsid w:val="02A543F1"/>
    <w:rsid w:val="02B16C57"/>
    <w:rsid w:val="02E434AE"/>
    <w:rsid w:val="02F743CA"/>
    <w:rsid w:val="031B34FA"/>
    <w:rsid w:val="034B442F"/>
    <w:rsid w:val="035471B1"/>
    <w:rsid w:val="036F09EC"/>
    <w:rsid w:val="037424B2"/>
    <w:rsid w:val="03900CE7"/>
    <w:rsid w:val="03CE2112"/>
    <w:rsid w:val="03ED1A6F"/>
    <w:rsid w:val="03F21EC7"/>
    <w:rsid w:val="03FA7625"/>
    <w:rsid w:val="04083A9B"/>
    <w:rsid w:val="04C45D76"/>
    <w:rsid w:val="04C60B81"/>
    <w:rsid w:val="04DB480C"/>
    <w:rsid w:val="05213E47"/>
    <w:rsid w:val="05263534"/>
    <w:rsid w:val="05337991"/>
    <w:rsid w:val="0590502C"/>
    <w:rsid w:val="059705FA"/>
    <w:rsid w:val="05BC1413"/>
    <w:rsid w:val="05BD0CDD"/>
    <w:rsid w:val="05BE3E29"/>
    <w:rsid w:val="05CB4904"/>
    <w:rsid w:val="05D1565E"/>
    <w:rsid w:val="05E24935"/>
    <w:rsid w:val="05F037C6"/>
    <w:rsid w:val="05F50C8B"/>
    <w:rsid w:val="05FD5505"/>
    <w:rsid w:val="05FF678B"/>
    <w:rsid w:val="060C7B8C"/>
    <w:rsid w:val="063F3AB9"/>
    <w:rsid w:val="06456634"/>
    <w:rsid w:val="06495735"/>
    <w:rsid w:val="065B6814"/>
    <w:rsid w:val="06633455"/>
    <w:rsid w:val="066901E3"/>
    <w:rsid w:val="0673177C"/>
    <w:rsid w:val="06A12CDC"/>
    <w:rsid w:val="06DD1535"/>
    <w:rsid w:val="07191617"/>
    <w:rsid w:val="07674FD2"/>
    <w:rsid w:val="078431D1"/>
    <w:rsid w:val="07B25DB8"/>
    <w:rsid w:val="07C40ED7"/>
    <w:rsid w:val="07C7115E"/>
    <w:rsid w:val="0810100A"/>
    <w:rsid w:val="08106B9F"/>
    <w:rsid w:val="0859022E"/>
    <w:rsid w:val="089D5D23"/>
    <w:rsid w:val="08B40CC8"/>
    <w:rsid w:val="08BA4D8A"/>
    <w:rsid w:val="08BD0615"/>
    <w:rsid w:val="08D72DEC"/>
    <w:rsid w:val="08E8575A"/>
    <w:rsid w:val="08EA5B6E"/>
    <w:rsid w:val="09130289"/>
    <w:rsid w:val="094A66A2"/>
    <w:rsid w:val="095A7C00"/>
    <w:rsid w:val="095F237E"/>
    <w:rsid w:val="09897992"/>
    <w:rsid w:val="09B108C0"/>
    <w:rsid w:val="09B12B57"/>
    <w:rsid w:val="09B666F1"/>
    <w:rsid w:val="09C63351"/>
    <w:rsid w:val="09F729DF"/>
    <w:rsid w:val="09FF15A1"/>
    <w:rsid w:val="0A030E0E"/>
    <w:rsid w:val="0A2B3473"/>
    <w:rsid w:val="0A3C686F"/>
    <w:rsid w:val="0A4E41AA"/>
    <w:rsid w:val="0A80764E"/>
    <w:rsid w:val="0A9C1552"/>
    <w:rsid w:val="0AB30820"/>
    <w:rsid w:val="0ACF3BC0"/>
    <w:rsid w:val="0AD84328"/>
    <w:rsid w:val="0B022E55"/>
    <w:rsid w:val="0B0429EB"/>
    <w:rsid w:val="0B2719FC"/>
    <w:rsid w:val="0B4B734D"/>
    <w:rsid w:val="0B533CB3"/>
    <w:rsid w:val="0B5731D0"/>
    <w:rsid w:val="0B762A27"/>
    <w:rsid w:val="0B8B1A4C"/>
    <w:rsid w:val="0B956417"/>
    <w:rsid w:val="0BA838B7"/>
    <w:rsid w:val="0BAC4BD7"/>
    <w:rsid w:val="0BD44ED8"/>
    <w:rsid w:val="0BEB51B8"/>
    <w:rsid w:val="0BEF6334"/>
    <w:rsid w:val="0BF202A5"/>
    <w:rsid w:val="0C163ED9"/>
    <w:rsid w:val="0C2D67AC"/>
    <w:rsid w:val="0C3D0BC3"/>
    <w:rsid w:val="0C570F30"/>
    <w:rsid w:val="0C863FC0"/>
    <w:rsid w:val="0CAF46BA"/>
    <w:rsid w:val="0CED4AAB"/>
    <w:rsid w:val="0D0935A9"/>
    <w:rsid w:val="0D0A1F41"/>
    <w:rsid w:val="0D0A35CB"/>
    <w:rsid w:val="0D17337B"/>
    <w:rsid w:val="0D3C1245"/>
    <w:rsid w:val="0D40113E"/>
    <w:rsid w:val="0D9A0974"/>
    <w:rsid w:val="0DA03719"/>
    <w:rsid w:val="0DB82FC6"/>
    <w:rsid w:val="0DE06857"/>
    <w:rsid w:val="0E0E2959"/>
    <w:rsid w:val="0E205AB5"/>
    <w:rsid w:val="0E2B4868"/>
    <w:rsid w:val="0E2F543E"/>
    <w:rsid w:val="0E31016F"/>
    <w:rsid w:val="0E46049D"/>
    <w:rsid w:val="0E58041E"/>
    <w:rsid w:val="0E5A1440"/>
    <w:rsid w:val="0E5C3034"/>
    <w:rsid w:val="0E8962F2"/>
    <w:rsid w:val="0E9B68DB"/>
    <w:rsid w:val="0ED26B1D"/>
    <w:rsid w:val="0EFA7F37"/>
    <w:rsid w:val="0F184478"/>
    <w:rsid w:val="0F2F429E"/>
    <w:rsid w:val="0F3F2AB0"/>
    <w:rsid w:val="0F3F454E"/>
    <w:rsid w:val="0F5207A7"/>
    <w:rsid w:val="0F670F2C"/>
    <w:rsid w:val="0F7420B4"/>
    <w:rsid w:val="0FB073FE"/>
    <w:rsid w:val="10524A27"/>
    <w:rsid w:val="108B5788"/>
    <w:rsid w:val="10972599"/>
    <w:rsid w:val="109A067B"/>
    <w:rsid w:val="10C055FF"/>
    <w:rsid w:val="11037D1D"/>
    <w:rsid w:val="11163158"/>
    <w:rsid w:val="11313DEA"/>
    <w:rsid w:val="114D15C3"/>
    <w:rsid w:val="11662C34"/>
    <w:rsid w:val="116D46BD"/>
    <w:rsid w:val="1172737C"/>
    <w:rsid w:val="11BA0CFE"/>
    <w:rsid w:val="11C07AB9"/>
    <w:rsid w:val="11D55352"/>
    <w:rsid w:val="11F54669"/>
    <w:rsid w:val="12054E4B"/>
    <w:rsid w:val="121026F2"/>
    <w:rsid w:val="124E684D"/>
    <w:rsid w:val="12780989"/>
    <w:rsid w:val="129F1627"/>
    <w:rsid w:val="12B16A1E"/>
    <w:rsid w:val="12FC1DE9"/>
    <w:rsid w:val="13344216"/>
    <w:rsid w:val="134D19E0"/>
    <w:rsid w:val="13574CA7"/>
    <w:rsid w:val="13A64B88"/>
    <w:rsid w:val="13B910C0"/>
    <w:rsid w:val="141226E4"/>
    <w:rsid w:val="14387264"/>
    <w:rsid w:val="14433D6F"/>
    <w:rsid w:val="146B61E6"/>
    <w:rsid w:val="14770163"/>
    <w:rsid w:val="14DA121B"/>
    <w:rsid w:val="14EF7818"/>
    <w:rsid w:val="14F61C61"/>
    <w:rsid w:val="150A0C22"/>
    <w:rsid w:val="154523BF"/>
    <w:rsid w:val="155C2A53"/>
    <w:rsid w:val="15831A36"/>
    <w:rsid w:val="159E4B67"/>
    <w:rsid w:val="15B67D22"/>
    <w:rsid w:val="15EC256B"/>
    <w:rsid w:val="16197596"/>
    <w:rsid w:val="165656DF"/>
    <w:rsid w:val="167D6888"/>
    <w:rsid w:val="16BB723D"/>
    <w:rsid w:val="16C45DDA"/>
    <w:rsid w:val="17447C37"/>
    <w:rsid w:val="175C3675"/>
    <w:rsid w:val="17C266EE"/>
    <w:rsid w:val="17EC14EE"/>
    <w:rsid w:val="17ED693C"/>
    <w:rsid w:val="17FA36F6"/>
    <w:rsid w:val="180635E6"/>
    <w:rsid w:val="183237E4"/>
    <w:rsid w:val="184E5B1E"/>
    <w:rsid w:val="18635384"/>
    <w:rsid w:val="189339BF"/>
    <w:rsid w:val="18B4159C"/>
    <w:rsid w:val="18B57D7B"/>
    <w:rsid w:val="18B60A25"/>
    <w:rsid w:val="18CF6DBE"/>
    <w:rsid w:val="18D375E1"/>
    <w:rsid w:val="18F85453"/>
    <w:rsid w:val="19056D8F"/>
    <w:rsid w:val="191E49DC"/>
    <w:rsid w:val="192D447F"/>
    <w:rsid w:val="194477C6"/>
    <w:rsid w:val="19537D12"/>
    <w:rsid w:val="19541716"/>
    <w:rsid w:val="196C64C6"/>
    <w:rsid w:val="199B46C2"/>
    <w:rsid w:val="19BC7F74"/>
    <w:rsid w:val="19FB3BF8"/>
    <w:rsid w:val="1A1B56C8"/>
    <w:rsid w:val="1A424573"/>
    <w:rsid w:val="1A6B66A6"/>
    <w:rsid w:val="1A735F90"/>
    <w:rsid w:val="1AA801EE"/>
    <w:rsid w:val="1AD923B9"/>
    <w:rsid w:val="1AFB5788"/>
    <w:rsid w:val="1B29136A"/>
    <w:rsid w:val="1B625949"/>
    <w:rsid w:val="1B6715F7"/>
    <w:rsid w:val="1B893B92"/>
    <w:rsid w:val="1BB36D4A"/>
    <w:rsid w:val="1BB979D5"/>
    <w:rsid w:val="1BDF3007"/>
    <w:rsid w:val="1BE14580"/>
    <w:rsid w:val="1C1576D9"/>
    <w:rsid w:val="1C426807"/>
    <w:rsid w:val="1C6D330F"/>
    <w:rsid w:val="1C7D1A47"/>
    <w:rsid w:val="1C935D8B"/>
    <w:rsid w:val="1CB72182"/>
    <w:rsid w:val="1CC112A9"/>
    <w:rsid w:val="1CC57BED"/>
    <w:rsid w:val="1CD4002E"/>
    <w:rsid w:val="1D174633"/>
    <w:rsid w:val="1D2149C9"/>
    <w:rsid w:val="1D233F72"/>
    <w:rsid w:val="1D4403FC"/>
    <w:rsid w:val="1D454DAB"/>
    <w:rsid w:val="1D585D66"/>
    <w:rsid w:val="1D7A370B"/>
    <w:rsid w:val="1D8310C3"/>
    <w:rsid w:val="1D976051"/>
    <w:rsid w:val="1DA65E41"/>
    <w:rsid w:val="1DAA00DE"/>
    <w:rsid w:val="1DEB4A7D"/>
    <w:rsid w:val="1E012C45"/>
    <w:rsid w:val="1E070E96"/>
    <w:rsid w:val="1E0B1540"/>
    <w:rsid w:val="1E2A1A74"/>
    <w:rsid w:val="1E3126F4"/>
    <w:rsid w:val="1E381A10"/>
    <w:rsid w:val="1E3B5B2C"/>
    <w:rsid w:val="1E495499"/>
    <w:rsid w:val="1E6657E2"/>
    <w:rsid w:val="1E6B6858"/>
    <w:rsid w:val="1E826E10"/>
    <w:rsid w:val="1E9D3641"/>
    <w:rsid w:val="1ED062CE"/>
    <w:rsid w:val="1EF213FD"/>
    <w:rsid w:val="1F056FCC"/>
    <w:rsid w:val="1F4A08AA"/>
    <w:rsid w:val="1FB060EE"/>
    <w:rsid w:val="1FB25B6D"/>
    <w:rsid w:val="1FBE5875"/>
    <w:rsid w:val="1FD26A68"/>
    <w:rsid w:val="20466D9C"/>
    <w:rsid w:val="209A36C3"/>
    <w:rsid w:val="20A374F8"/>
    <w:rsid w:val="20B83993"/>
    <w:rsid w:val="20D01A39"/>
    <w:rsid w:val="21180641"/>
    <w:rsid w:val="21512FB2"/>
    <w:rsid w:val="2177524E"/>
    <w:rsid w:val="21997BCC"/>
    <w:rsid w:val="21AC6948"/>
    <w:rsid w:val="21C24357"/>
    <w:rsid w:val="21DE7F62"/>
    <w:rsid w:val="21DF5CBD"/>
    <w:rsid w:val="220D0BE0"/>
    <w:rsid w:val="224E4629"/>
    <w:rsid w:val="225405C2"/>
    <w:rsid w:val="226A2D2A"/>
    <w:rsid w:val="227359E3"/>
    <w:rsid w:val="227859EE"/>
    <w:rsid w:val="22847938"/>
    <w:rsid w:val="22B54DF6"/>
    <w:rsid w:val="22C72194"/>
    <w:rsid w:val="234C47C3"/>
    <w:rsid w:val="237F316C"/>
    <w:rsid w:val="23987956"/>
    <w:rsid w:val="23AB2A09"/>
    <w:rsid w:val="23BB040D"/>
    <w:rsid w:val="23BB68E0"/>
    <w:rsid w:val="23CD1262"/>
    <w:rsid w:val="23F425D8"/>
    <w:rsid w:val="23F83E44"/>
    <w:rsid w:val="240371BF"/>
    <w:rsid w:val="24474926"/>
    <w:rsid w:val="244C19CB"/>
    <w:rsid w:val="247F10D1"/>
    <w:rsid w:val="24E17D9F"/>
    <w:rsid w:val="24F03140"/>
    <w:rsid w:val="24F210CB"/>
    <w:rsid w:val="25011E26"/>
    <w:rsid w:val="25017EA9"/>
    <w:rsid w:val="250250D9"/>
    <w:rsid w:val="250C07DA"/>
    <w:rsid w:val="25212B8B"/>
    <w:rsid w:val="252E000A"/>
    <w:rsid w:val="254C4243"/>
    <w:rsid w:val="257778C4"/>
    <w:rsid w:val="257D791F"/>
    <w:rsid w:val="25AF7131"/>
    <w:rsid w:val="25C574DF"/>
    <w:rsid w:val="25D918B0"/>
    <w:rsid w:val="25F70070"/>
    <w:rsid w:val="26362FB2"/>
    <w:rsid w:val="26520854"/>
    <w:rsid w:val="26750388"/>
    <w:rsid w:val="269A37EF"/>
    <w:rsid w:val="26C3458D"/>
    <w:rsid w:val="26D75E10"/>
    <w:rsid w:val="2708501A"/>
    <w:rsid w:val="27097D20"/>
    <w:rsid w:val="270A14BD"/>
    <w:rsid w:val="274417F9"/>
    <w:rsid w:val="27543F80"/>
    <w:rsid w:val="27A82B9D"/>
    <w:rsid w:val="27BB727B"/>
    <w:rsid w:val="27C26906"/>
    <w:rsid w:val="27EA1A53"/>
    <w:rsid w:val="27EB4C40"/>
    <w:rsid w:val="27FD106A"/>
    <w:rsid w:val="28016C22"/>
    <w:rsid w:val="28147850"/>
    <w:rsid w:val="28170C71"/>
    <w:rsid w:val="28381901"/>
    <w:rsid w:val="28427682"/>
    <w:rsid w:val="28451115"/>
    <w:rsid w:val="284C31E0"/>
    <w:rsid w:val="28750A46"/>
    <w:rsid w:val="28901816"/>
    <w:rsid w:val="289F4176"/>
    <w:rsid w:val="28C15A7C"/>
    <w:rsid w:val="28F0593F"/>
    <w:rsid w:val="28FD6530"/>
    <w:rsid w:val="291776DD"/>
    <w:rsid w:val="291B3271"/>
    <w:rsid w:val="294F43E9"/>
    <w:rsid w:val="295221ED"/>
    <w:rsid w:val="296F3983"/>
    <w:rsid w:val="29950C3F"/>
    <w:rsid w:val="299F128E"/>
    <w:rsid w:val="29C67D1F"/>
    <w:rsid w:val="29EE7235"/>
    <w:rsid w:val="29FD04D3"/>
    <w:rsid w:val="2A023505"/>
    <w:rsid w:val="2A14179D"/>
    <w:rsid w:val="2A193111"/>
    <w:rsid w:val="2A2B745A"/>
    <w:rsid w:val="2A340CD4"/>
    <w:rsid w:val="2AA86D6B"/>
    <w:rsid w:val="2ACE43D8"/>
    <w:rsid w:val="2ADF1028"/>
    <w:rsid w:val="2AF97160"/>
    <w:rsid w:val="2AFE4801"/>
    <w:rsid w:val="2B0B4CEE"/>
    <w:rsid w:val="2B255B02"/>
    <w:rsid w:val="2B64721C"/>
    <w:rsid w:val="2B98249D"/>
    <w:rsid w:val="2C1D79A8"/>
    <w:rsid w:val="2C3C0250"/>
    <w:rsid w:val="2C452C52"/>
    <w:rsid w:val="2C456659"/>
    <w:rsid w:val="2C4938D2"/>
    <w:rsid w:val="2C56647B"/>
    <w:rsid w:val="2C6274BE"/>
    <w:rsid w:val="2C8E05D7"/>
    <w:rsid w:val="2C8F7E70"/>
    <w:rsid w:val="2C975468"/>
    <w:rsid w:val="2CA42F84"/>
    <w:rsid w:val="2CB22649"/>
    <w:rsid w:val="2CDA0176"/>
    <w:rsid w:val="2CED383A"/>
    <w:rsid w:val="2D56396E"/>
    <w:rsid w:val="2D5F3E4A"/>
    <w:rsid w:val="2D5F4E5F"/>
    <w:rsid w:val="2D634EAD"/>
    <w:rsid w:val="2D6E0D30"/>
    <w:rsid w:val="2D7514D8"/>
    <w:rsid w:val="2DCF2FCB"/>
    <w:rsid w:val="2DE17015"/>
    <w:rsid w:val="2DEB1477"/>
    <w:rsid w:val="2DF47A49"/>
    <w:rsid w:val="2E0943DC"/>
    <w:rsid w:val="2E165B9E"/>
    <w:rsid w:val="2E190AE3"/>
    <w:rsid w:val="2E2F4F2B"/>
    <w:rsid w:val="2E8520C3"/>
    <w:rsid w:val="2EB42BF1"/>
    <w:rsid w:val="2EF22AD9"/>
    <w:rsid w:val="2EF36A3C"/>
    <w:rsid w:val="2F031607"/>
    <w:rsid w:val="2F23799A"/>
    <w:rsid w:val="2F5225B0"/>
    <w:rsid w:val="2F586635"/>
    <w:rsid w:val="2F601B8A"/>
    <w:rsid w:val="2F6871D8"/>
    <w:rsid w:val="2F7321B4"/>
    <w:rsid w:val="2F845D0E"/>
    <w:rsid w:val="2FA079B6"/>
    <w:rsid w:val="2FCE5E79"/>
    <w:rsid w:val="2FE426C4"/>
    <w:rsid w:val="302379EC"/>
    <w:rsid w:val="30342400"/>
    <w:rsid w:val="304A06C0"/>
    <w:rsid w:val="30584E64"/>
    <w:rsid w:val="306A1B3F"/>
    <w:rsid w:val="307E7588"/>
    <w:rsid w:val="30944491"/>
    <w:rsid w:val="30A34690"/>
    <w:rsid w:val="30AD2B3B"/>
    <w:rsid w:val="30BA1F1A"/>
    <w:rsid w:val="30C17FD9"/>
    <w:rsid w:val="30C65C79"/>
    <w:rsid w:val="30FA217D"/>
    <w:rsid w:val="31223B07"/>
    <w:rsid w:val="312636E5"/>
    <w:rsid w:val="319B1372"/>
    <w:rsid w:val="319F7F4E"/>
    <w:rsid w:val="31CE3E14"/>
    <w:rsid w:val="32123F91"/>
    <w:rsid w:val="3214405D"/>
    <w:rsid w:val="32463DFB"/>
    <w:rsid w:val="327939BF"/>
    <w:rsid w:val="32AD6ECE"/>
    <w:rsid w:val="32CC2965"/>
    <w:rsid w:val="32EA6D4C"/>
    <w:rsid w:val="33240B0D"/>
    <w:rsid w:val="33326611"/>
    <w:rsid w:val="333D245A"/>
    <w:rsid w:val="333F5C6D"/>
    <w:rsid w:val="33630B20"/>
    <w:rsid w:val="33690D36"/>
    <w:rsid w:val="3384076A"/>
    <w:rsid w:val="339869F7"/>
    <w:rsid w:val="33A36C4E"/>
    <w:rsid w:val="33D42BA1"/>
    <w:rsid w:val="33EE121C"/>
    <w:rsid w:val="33F7593D"/>
    <w:rsid w:val="33FA487A"/>
    <w:rsid w:val="341A20E2"/>
    <w:rsid w:val="342601C9"/>
    <w:rsid w:val="34304402"/>
    <w:rsid w:val="34481043"/>
    <w:rsid w:val="344E14A3"/>
    <w:rsid w:val="34555316"/>
    <w:rsid w:val="3487031D"/>
    <w:rsid w:val="3491168A"/>
    <w:rsid w:val="350B47C7"/>
    <w:rsid w:val="353D71AC"/>
    <w:rsid w:val="356404C4"/>
    <w:rsid w:val="35645131"/>
    <w:rsid w:val="35944CA6"/>
    <w:rsid w:val="3596533D"/>
    <w:rsid w:val="35BD14D6"/>
    <w:rsid w:val="35F041A0"/>
    <w:rsid w:val="36247869"/>
    <w:rsid w:val="365C19D2"/>
    <w:rsid w:val="36737230"/>
    <w:rsid w:val="36CB1FC7"/>
    <w:rsid w:val="3718089D"/>
    <w:rsid w:val="371F35C7"/>
    <w:rsid w:val="372157E9"/>
    <w:rsid w:val="37342B9A"/>
    <w:rsid w:val="37390773"/>
    <w:rsid w:val="375441A5"/>
    <w:rsid w:val="376C21C2"/>
    <w:rsid w:val="37793570"/>
    <w:rsid w:val="378B29C9"/>
    <w:rsid w:val="37AE31EA"/>
    <w:rsid w:val="37AF4500"/>
    <w:rsid w:val="37B42B20"/>
    <w:rsid w:val="37BD2949"/>
    <w:rsid w:val="37E6222B"/>
    <w:rsid w:val="37E80537"/>
    <w:rsid w:val="37F47325"/>
    <w:rsid w:val="380C3D50"/>
    <w:rsid w:val="38140B5F"/>
    <w:rsid w:val="381F1C04"/>
    <w:rsid w:val="38215BAF"/>
    <w:rsid w:val="3836451C"/>
    <w:rsid w:val="383C108D"/>
    <w:rsid w:val="38493F65"/>
    <w:rsid w:val="3851759C"/>
    <w:rsid w:val="386F05B9"/>
    <w:rsid w:val="38771FBA"/>
    <w:rsid w:val="38867D76"/>
    <w:rsid w:val="38AF2C08"/>
    <w:rsid w:val="38E82B1C"/>
    <w:rsid w:val="38EC27B6"/>
    <w:rsid w:val="39177DBA"/>
    <w:rsid w:val="39857D99"/>
    <w:rsid w:val="39BF4459"/>
    <w:rsid w:val="3A320852"/>
    <w:rsid w:val="3A44767E"/>
    <w:rsid w:val="3A4D1079"/>
    <w:rsid w:val="3A530BFE"/>
    <w:rsid w:val="3A5822A8"/>
    <w:rsid w:val="3A5A66FF"/>
    <w:rsid w:val="3A664AB6"/>
    <w:rsid w:val="3A863AA4"/>
    <w:rsid w:val="3A891A5C"/>
    <w:rsid w:val="3A8E1EDF"/>
    <w:rsid w:val="3AC57334"/>
    <w:rsid w:val="3ACE081A"/>
    <w:rsid w:val="3AD7111B"/>
    <w:rsid w:val="3ADA6DDA"/>
    <w:rsid w:val="3ADE6050"/>
    <w:rsid w:val="3AEC5ABE"/>
    <w:rsid w:val="3B2717BF"/>
    <w:rsid w:val="3B437A2D"/>
    <w:rsid w:val="3B671AF5"/>
    <w:rsid w:val="3B7643EA"/>
    <w:rsid w:val="3B7B4782"/>
    <w:rsid w:val="3B944C22"/>
    <w:rsid w:val="3B9F21C3"/>
    <w:rsid w:val="3BA0511E"/>
    <w:rsid w:val="3BA060FC"/>
    <w:rsid w:val="3BCB13F7"/>
    <w:rsid w:val="3BF97BF8"/>
    <w:rsid w:val="3C187DF8"/>
    <w:rsid w:val="3C1D0008"/>
    <w:rsid w:val="3C2352C8"/>
    <w:rsid w:val="3C5976F8"/>
    <w:rsid w:val="3C8B13C7"/>
    <w:rsid w:val="3C930FE3"/>
    <w:rsid w:val="3CC87D2D"/>
    <w:rsid w:val="3CCB1D67"/>
    <w:rsid w:val="3D1D04F6"/>
    <w:rsid w:val="3D1D471F"/>
    <w:rsid w:val="3D292743"/>
    <w:rsid w:val="3D2A7158"/>
    <w:rsid w:val="3D8D32D0"/>
    <w:rsid w:val="3DCD3FE1"/>
    <w:rsid w:val="3DE26E09"/>
    <w:rsid w:val="3DEC45A2"/>
    <w:rsid w:val="3E025562"/>
    <w:rsid w:val="3E1D58B3"/>
    <w:rsid w:val="3E4A52E4"/>
    <w:rsid w:val="3E517657"/>
    <w:rsid w:val="3E5F6295"/>
    <w:rsid w:val="3EC653D0"/>
    <w:rsid w:val="3EDB17F4"/>
    <w:rsid w:val="3EE447E9"/>
    <w:rsid w:val="3F0723E5"/>
    <w:rsid w:val="3F1F39B9"/>
    <w:rsid w:val="3F2F1930"/>
    <w:rsid w:val="3F3B2E97"/>
    <w:rsid w:val="3F42312F"/>
    <w:rsid w:val="3F85284D"/>
    <w:rsid w:val="3F9209B2"/>
    <w:rsid w:val="3FB75110"/>
    <w:rsid w:val="401B2D81"/>
    <w:rsid w:val="40245DD4"/>
    <w:rsid w:val="402A54EB"/>
    <w:rsid w:val="40306E40"/>
    <w:rsid w:val="404A78CE"/>
    <w:rsid w:val="40541403"/>
    <w:rsid w:val="40985E5D"/>
    <w:rsid w:val="409F27B3"/>
    <w:rsid w:val="40BA4923"/>
    <w:rsid w:val="40C60516"/>
    <w:rsid w:val="40D37DFE"/>
    <w:rsid w:val="40FE7CBC"/>
    <w:rsid w:val="411069FA"/>
    <w:rsid w:val="414E2340"/>
    <w:rsid w:val="41791DC8"/>
    <w:rsid w:val="419602D6"/>
    <w:rsid w:val="41B71350"/>
    <w:rsid w:val="41C27A87"/>
    <w:rsid w:val="41DA53E0"/>
    <w:rsid w:val="41F230F1"/>
    <w:rsid w:val="41F521F3"/>
    <w:rsid w:val="420B0E4F"/>
    <w:rsid w:val="422E4A5D"/>
    <w:rsid w:val="424B5091"/>
    <w:rsid w:val="42534DD8"/>
    <w:rsid w:val="42CC54D7"/>
    <w:rsid w:val="42E21424"/>
    <w:rsid w:val="42F62542"/>
    <w:rsid w:val="430A1289"/>
    <w:rsid w:val="43237E01"/>
    <w:rsid w:val="432E09B8"/>
    <w:rsid w:val="43313A5A"/>
    <w:rsid w:val="436B40C2"/>
    <w:rsid w:val="43812C80"/>
    <w:rsid w:val="43CE7A75"/>
    <w:rsid w:val="43D76590"/>
    <w:rsid w:val="43DD35F2"/>
    <w:rsid w:val="43E64482"/>
    <w:rsid w:val="43E8369A"/>
    <w:rsid w:val="43F920FD"/>
    <w:rsid w:val="440539B0"/>
    <w:rsid w:val="440A760E"/>
    <w:rsid w:val="44161471"/>
    <w:rsid w:val="44265361"/>
    <w:rsid w:val="442A0623"/>
    <w:rsid w:val="444B286B"/>
    <w:rsid w:val="445826AF"/>
    <w:rsid w:val="4464026F"/>
    <w:rsid w:val="446745E0"/>
    <w:rsid w:val="446E67AC"/>
    <w:rsid w:val="44927922"/>
    <w:rsid w:val="4496034E"/>
    <w:rsid w:val="44E036A3"/>
    <w:rsid w:val="44F87357"/>
    <w:rsid w:val="450338AA"/>
    <w:rsid w:val="451F03F4"/>
    <w:rsid w:val="458B432F"/>
    <w:rsid w:val="459A040C"/>
    <w:rsid w:val="45D16AE7"/>
    <w:rsid w:val="460B08AF"/>
    <w:rsid w:val="46222F5F"/>
    <w:rsid w:val="46586CF6"/>
    <w:rsid w:val="4682564B"/>
    <w:rsid w:val="46826A51"/>
    <w:rsid w:val="46A109D7"/>
    <w:rsid w:val="46AA29E3"/>
    <w:rsid w:val="46C12822"/>
    <w:rsid w:val="46C54CF3"/>
    <w:rsid w:val="46D50B37"/>
    <w:rsid w:val="46D61EEB"/>
    <w:rsid w:val="47843CE9"/>
    <w:rsid w:val="479E23C0"/>
    <w:rsid w:val="47BF78F1"/>
    <w:rsid w:val="47C20F59"/>
    <w:rsid w:val="47E42565"/>
    <w:rsid w:val="47EA3551"/>
    <w:rsid w:val="47F15CCD"/>
    <w:rsid w:val="48023E6D"/>
    <w:rsid w:val="48333FB1"/>
    <w:rsid w:val="4843209F"/>
    <w:rsid w:val="48463685"/>
    <w:rsid w:val="48516003"/>
    <w:rsid w:val="485D4BB8"/>
    <w:rsid w:val="486C059F"/>
    <w:rsid w:val="486C3CAA"/>
    <w:rsid w:val="48727E39"/>
    <w:rsid w:val="48741417"/>
    <w:rsid w:val="489D394F"/>
    <w:rsid w:val="489F4970"/>
    <w:rsid w:val="48B33C60"/>
    <w:rsid w:val="48B7076E"/>
    <w:rsid w:val="48CB610E"/>
    <w:rsid w:val="48E152D2"/>
    <w:rsid w:val="48E955AD"/>
    <w:rsid w:val="48F54882"/>
    <w:rsid w:val="49035E8A"/>
    <w:rsid w:val="490B4F0E"/>
    <w:rsid w:val="490C79AB"/>
    <w:rsid w:val="49162786"/>
    <w:rsid w:val="49406BDD"/>
    <w:rsid w:val="49412E14"/>
    <w:rsid w:val="49592DD6"/>
    <w:rsid w:val="495A71FC"/>
    <w:rsid w:val="49650050"/>
    <w:rsid w:val="49652FF8"/>
    <w:rsid w:val="499C4A81"/>
    <w:rsid w:val="49D97B38"/>
    <w:rsid w:val="49EE10A1"/>
    <w:rsid w:val="49F33589"/>
    <w:rsid w:val="4A141601"/>
    <w:rsid w:val="4A1D54F7"/>
    <w:rsid w:val="4A2F1196"/>
    <w:rsid w:val="4A3254E1"/>
    <w:rsid w:val="4A36216C"/>
    <w:rsid w:val="4A4C5380"/>
    <w:rsid w:val="4A6066A9"/>
    <w:rsid w:val="4A76742B"/>
    <w:rsid w:val="4A944EBA"/>
    <w:rsid w:val="4AF730FB"/>
    <w:rsid w:val="4B081700"/>
    <w:rsid w:val="4B172BBA"/>
    <w:rsid w:val="4B265CA5"/>
    <w:rsid w:val="4B422BED"/>
    <w:rsid w:val="4B4C1D18"/>
    <w:rsid w:val="4B913901"/>
    <w:rsid w:val="4B99086C"/>
    <w:rsid w:val="4BA25DD9"/>
    <w:rsid w:val="4BAB53AC"/>
    <w:rsid w:val="4BC91C0C"/>
    <w:rsid w:val="4BE7181E"/>
    <w:rsid w:val="4BEE4800"/>
    <w:rsid w:val="4BF10F3C"/>
    <w:rsid w:val="4BF83579"/>
    <w:rsid w:val="4C033B46"/>
    <w:rsid w:val="4C39496D"/>
    <w:rsid w:val="4C3B0EC7"/>
    <w:rsid w:val="4C3D35E3"/>
    <w:rsid w:val="4C52390E"/>
    <w:rsid w:val="4CF46485"/>
    <w:rsid w:val="4D1C5694"/>
    <w:rsid w:val="4D2A3AAB"/>
    <w:rsid w:val="4D305099"/>
    <w:rsid w:val="4D4300F2"/>
    <w:rsid w:val="4D5A20B6"/>
    <w:rsid w:val="4D6E6979"/>
    <w:rsid w:val="4D914202"/>
    <w:rsid w:val="4DA14649"/>
    <w:rsid w:val="4DB27413"/>
    <w:rsid w:val="4DDE4CDE"/>
    <w:rsid w:val="4DEC462C"/>
    <w:rsid w:val="4E4F6222"/>
    <w:rsid w:val="4E8D764A"/>
    <w:rsid w:val="4EEF149E"/>
    <w:rsid w:val="4EF200AF"/>
    <w:rsid w:val="4F381A17"/>
    <w:rsid w:val="4F805278"/>
    <w:rsid w:val="4F866650"/>
    <w:rsid w:val="4FA36FA8"/>
    <w:rsid w:val="4FAD1475"/>
    <w:rsid w:val="4FBC58D8"/>
    <w:rsid w:val="4FFA5C80"/>
    <w:rsid w:val="500D12EF"/>
    <w:rsid w:val="501643D3"/>
    <w:rsid w:val="50362663"/>
    <w:rsid w:val="503F6761"/>
    <w:rsid w:val="50421DCA"/>
    <w:rsid w:val="50755490"/>
    <w:rsid w:val="507A338E"/>
    <w:rsid w:val="507C4FC1"/>
    <w:rsid w:val="508569FA"/>
    <w:rsid w:val="50904F07"/>
    <w:rsid w:val="50972C96"/>
    <w:rsid w:val="50A26212"/>
    <w:rsid w:val="50C0116E"/>
    <w:rsid w:val="50C771D8"/>
    <w:rsid w:val="50D41D80"/>
    <w:rsid w:val="50E535BF"/>
    <w:rsid w:val="50E54771"/>
    <w:rsid w:val="510A32EF"/>
    <w:rsid w:val="512B2E12"/>
    <w:rsid w:val="5160549E"/>
    <w:rsid w:val="51875B00"/>
    <w:rsid w:val="51AF01B4"/>
    <w:rsid w:val="51DF437C"/>
    <w:rsid w:val="51FB2D30"/>
    <w:rsid w:val="52144CB4"/>
    <w:rsid w:val="52310157"/>
    <w:rsid w:val="5262597E"/>
    <w:rsid w:val="526E4BF4"/>
    <w:rsid w:val="527C2BC2"/>
    <w:rsid w:val="527D271D"/>
    <w:rsid w:val="5292273F"/>
    <w:rsid w:val="52A30310"/>
    <w:rsid w:val="52AD763A"/>
    <w:rsid w:val="52D54473"/>
    <w:rsid w:val="52F36228"/>
    <w:rsid w:val="530B0877"/>
    <w:rsid w:val="53164007"/>
    <w:rsid w:val="53226659"/>
    <w:rsid w:val="53423150"/>
    <w:rsid w:val="534C1F85"/>
    <w:rsid w:val="535469D4"/>
    <w:rsid w:val="536B7588"/>
    <w:rsid w:val="53CD3CE5"/>
    <w:rsid w:val="53E77194"/>
    <w:rsid w:val="53EB5A67"/>
    <w:rsid w:val="53F83EED"/>
    <w:rsid w:val="540853DA"/>
    <w:rsid w:val="541A60F0"/>
    <w:rsid w:val="54264508"/>
    <w:rsid w:val="54576D7F"/>
    <w:rsid w:val="547C70C4"/>
    <w:rsid w:val="54D27A28"/>
    <w:rsid w:val="54DA60AE"/>
    <w:rsid w:val="54DE1B54"/>
    <w:rsid w:val="54EF10E0"/>
    <w:rsid w:val="552E67F7"/>
    <w:rsid w:val="55551E6C"/>
    <w:rsid w:val="55764323"/>
    <w:rsid w:val="55993DF9"/>
    <w:rsid w:val="55A76204"/>
    <w:rsid w:val="55B5370E"/>
    <w:rsid w:val="55B85082"/>
    <w:rsid w:val="55EC5F49"/>
    <w:rsid w:val="560633C1"/>
    <w:rsid w:val="56095DB9"/>
    <w:rsid w:val="56107763"/>
    <w:rsid w:val="561206CA"/>
    <w:rsid w:val="561545AD"/>
    <w:rsid w:val="5617679B"/>
    <w:rsid w:val="56230FC3"/>
    <w:rsid w:val="56411083"/>
    <w:rsid w:val="56492E22"/>
    <w:rsid w:val="565113CF"/>
    <w:rsid w:val="56A873BD"/>
    <w:rsid w:val="56B76C3F"/>
    <w:rsid w:val="56DA0BB2"/>
    <w:rsid w:val="574A26DF"/>
    <w:rsid w:val="575819DD"/>
    <w:rsid w:val="5765701A"/>
    <w:rsid w:val="57BE1B31"/>
    <w:rsid w:val="57C345D9"/>
    <w:rsid w:val="580A7745"/>
    <w:rsid w:val="583B45C4"/>
    <w:rsid w:val="58496B54"/>
    <w:rsid w:val="58825524"/>
    <w:rsid w:val="588D52DB"/>
    <w:rsid w:val="589A6CF6"/>
    <w:rsid w:val="58A74FC8"/>
    <w:rsid w:val="58BE37F8"/>
    <w:rsid w:val="58CD62EA"/>
    <w:rsid w:val="59083BAB"/>
    <w:rsid w:val="592F1B96"/>
    <w:rsid w:val="593819BB"/>
    <w:rsid w:val="593E3E9F"/>
    <w:rsid w:val="596E2E79"/>
    <w:rsid w:val="59844478"/>
    <w:rsid w:val="598E3C02"/>
    <w:rsid w:val="59915F96"/>
    <w:rsid w:val="59A82A88"/>
    <w:rsid w:val="59D55A01"/>
    <w:rsid w:val="59E11B7A"/>
    <w:rsid w:val="59E706B3"/>
    <w:rsid w:val="59FB198B"/>
    <w:rsid w:val="5A017E4C"/>
    <w:rsid w:val="5A574090"/>
    <w:rsid w:val="5A5E206B"/>
    <w:rsid w:val="5A6F6294"/>
    <w:rsid w:val="5A7C3A1B"/>
    <w:rsid w:val="5ACC7054"/>
    <w:rsid w:val="5AE91BEC"/>
    <w:rsid w:val="5B2907B8"/>
    <w:rsid w:val="5B42750A"/>
    <w:rsid w:val="5B4C473C"/>
    <w:rsid w:val="5B612DE8"/>
    <w:rsid w:val="5B677BF4"/>
    <w:rsid w:val="5B6A76B5"/>
    <w:rsid w:val="5B753AD1"/>
    <w:rsid w:val="5B960358"/>
    <w:rsid w:val="5BA14119"/>
    <w:rsid w:val="5BF83264"/>
    <w:rsid w:val="5C0D626C"/>
    <w:rsid w:val="5C1633C1"/>
    <w:rsid w:val="5C256990"/>
    <w:rsid w:val="5C465AC0"/>
    <w:rsid w:val="5C925A32"/>
    <w:rsid w:val="5CB912CF"/>
    <w:rsid w:val="5CCE781C"/>
    <w:rsid w:val="5CF60F2B"/>
    <w:rsid w:val="5D1C42B5"/>
    <w:rsid w:val="5D1D0DF6"/>
    <w:rsid w:val="5D731F2B"/>
    <w:rsid w:val="5DDC6986"/>
    <w:rsid w:val="5DE0352E"/>
    <w:rsid w:val="5DEF3BB7"/>
    <w:rsid w:val="5E0D1F00"/>
    <w:rsid w:val="5E130E89"/>
    <w:rsid w:val="5E267589"/>
    <w:rsid w:val="5E6D5355"/>
    <w:rsid w:val="5E7F3DF2"/>
    <w:rsid w:val="5E8F507F"/>
    <w:rsid w:val="5EAC650D"/>
    <w:rsid w:val="5EB45F84"/>
    <w:rsid w:val="5EB9642B"/>
    <w:rsid w:val="5EBB5FF5"/>
    <w:rsid w:val="5EE3790F"/>
    <w:rsid w:val="5EE43014"/>
    <w:rsid w:val="5EEA1034"/>
    <w:rsid w:val="5EEC598C"/>
    <w:rsid w:val="5F09172E"/>
    <w:rsid w:val="5F0C665C"/>
    <w:rsid w:val="5F2133D3"/>
    <w:rsid w:val="5F31210B"/>
    <w:rsid w:val="5F467E2A"/>
    <w:rsid w:val="5F6A6296"/>
    <w:rsid w:val="5F8F3360"/>
    <w:rsid w:val="5FDD7C60"/>
    <w:rsid w:val="60062096"/>
    <w:rsid w:val="601F4F65"/>
    <w:rsid w:val="602A794A"/>
    <w:rsid w:val="604E7BFD"/>
    <w:rsid w:val="60555D42"/>
    <w:rsid w:val="605D06CA"/>
    <w:rsid w:val="606E6147"/>
    <w:rsid w:val="60862D04"/>
    <w:rsid w:val="608C674A"/>
    <w:rsid w:val="60C22AA5"/>
    <w:rsid w:val="611D15FF"/>
    <w:rsid w:val="61543C41"/>
    <w:rsid w:val="6167418F"/>
    <w:rsid w:val="618978A6"/>
    <w:rsid w:val="61967F23"/>
    <w:rsid w:val="61B6163E"/>
    <w:rsid w:val="61BA5906"/>
    <w:rsid w:val="61E20FBC"/>
    <w:rsid w:val="61E810BC"/>
    <w:rsid w:val="61FE5754"/>
    <w:rsid w:val="620E23CA"/>
    <w:rsid w:val="62102818"/>
    <w:rsid w:val="62276E60"/>
    <w:rsid w:val="624A2095"/>
    <w:rsid w:val="62836778"/>
    <w:rsid w:val="62844B68"/>
    <w:rsid w:val="62857E0D"/>
    <w:rsid w:val="62AB7997"/>
    <w:rsid w:val="62AE639E"/>
    <w:rsid w:val="62B93AFC"/>
    <w:rsid w:val="62CC02CB"/>
    <w:rsid w:val="62DE4166"/>
    <w:rsid w:val="62EF3833"/>
    <w:rsid w:val="63067ECF"/>
    <w:rsid w:val="631D61C5"/>
    <w:rsid w:val="633D4999"/>
    <w:rsid w:val="638719D2"/>
    <w:rsid w:val="638A7448"/>
    <w:rsid w:val="63D32FA2"/>
    <w:rsid w:val="64327DAA"/>
    <w:rsid w:val="643915B0"/>
    <w:rsid w:val="646A006E"/>
    <w:rsid w:val="6470374C"/>
    <w:rsid w:val="647249BF"/>
    <w:rsid w:val="64733820"/>
    <w:rsid w:val="647B06F0"/>
    <w:rsid w:val="64F6554D"/>
    <w:rsid w:val="64F84E50"/>
    <w:rsid w:val="651135B6"/>
    <w:rsid w:val="65280967"/>
    <w:rsid w:val="6529747B"/>
    <w:rsid w:val="654563FF"/>
    <w:rsid w:val="654745A4"/>
    <w:rsid w:val="654E2F30"/>
    <w:rsid w:val="655E4797"/>
    <w:rsid w:val="65722FD4"/>
    <w:rsid w:val="65820706"/>
    <w:rsid w:val="658B3251"/>
    <w:rsid w:val="659E13BD"/>
    <w:rsid w:val="659E6372"/>
    <w:rsid w:val="65C63FE3"/>
    <w:rsid w:val="66004F01"/>
    <w:rsid w:val="6609392E"/>
    <w:rsid w:val="660A6DB1"/>
    <w:rsid w:val="66203FEB"/>
    <w:rsid w:val="66250B19"/>
    <w:rsid w:val="66366EBA"/>
    <w:rsid w:val="664663AB"/>
    <w:rsid w:val="66501C40"/>
    <w:rsid w:val="66824240"/>
    <w:rsid w:val="668D393C"/>
    <w:rsid w:val="669155F7"/>
    <w:rsid w:val="66A259D9"/>
    <w:rsid w:val="66C03D83"/>
    <w:rsid w:val="66D16DC0"/>
    <w:rsid w:val="66D44B16"/>
    <w:rsid w:val="67010E02"/>
    <w:rsid w:val="6719485A"/>
    <w:rsid w:val="672107DF"/>
    <w:rsid w:val="67280241"/>
    <w:rsid w:val="67466BCF"/>
    <w:rsid w:val="67844ABD"/>
    <w:rsid w:val="67BE4DDC"/>
    <w:rsid w:val="67C07D22"/>
    <w:rsid w:val="67C61613"/>
    <w:rsid w:val="67D05EC2"/>
    <w:rsid w:val="67D36E8D"/>
    <w:rsid w:val="67DD212F"/>
    <w:rsid w:val="67DF4840"/>
    <w:rsid w:val="67ED4FBF"/>
    <w:rsid w:val="67F137D5"/>
    <w:rsid w:val="681A5D1F"/>
    <w:rsid w:val="68217A18"/>
    <w:rsid w:val="683547F7"/>
    <w:rsid w:val="683E761C"/>
    <w:rsid w:val="685E5676"/>
    <w:rsid w:val="68616631"/>
    <w:rsid w:val="68623CE4"/>
    <w:rsid w:val="686E6129"/>
    <w:rsid w:val="68A1687C"/>
    <w:rsid w:val="68D72FCD"/>
    <w:rsid w:val="68EC5ADC"/>
    <w:rsid w:val="690A63B6"/>
    <w:rsid w:val="69135B83"/>
    <w:rsid w:val="6938587E"/>
    <w:rsid w:val="694C4A31"/>
    <w:rsid w:val="69536E35"/>
    <w:rsid w:val="69630187"/>
    <w:rsid w:val="69856309"/>
    <w:rsid w:val="699232E1"/>
    <w:rsid w:val="699941C6"/>
    <w:rsid w:val="699976EA"/>
    <w:rsid w:val="69C5778F"/>
    <w:rsid w:val="69D27622"/>
    <w:rsid w:val="69ED3265"/>
    <w:rsid w:val="6A0224F5"/>
    <w:rsid w:val="6A5A31FC"/>
    <w:rsid w:val="6A770068"/>
    <w:rsid w:val="6A8207E0"/>
    <w:rsid w:val="6A9D3E35"/>
    <w:rsid w:val="6AA25366"/>
    <w:rsid w:val="6AB328B2"/>
    <w:rsid w:val="6ACC4908"/>
    <w:rsid w:val="6B1061BB"/>
    <w:rsid w:val="6B2F2FEA"/>
    <w:rsid w:val="6B7D035D"/>
    <w:rsid w:val="6B896739"/>
    <w:rsid w:val="6B8A714F"/>
    <w:rsid w:val="6BB31EA7"/>
    <w:rsid w:val="6BE1709B"/>
    <w:rsid w:val="6C154750"/>
    <w:rsid w:val="6C78663C"/>
    <w:rsid w:val="6CDE6CA9"/>
    <w:rsid w:val="6D0D6209"/>
    <w:rsid w:val="6D1E65C7"/>
    <w:rsid w:val="6D3614C7"/>
    <w:rsid w:val="6D3B3476"/>
    <w:rsid w:val="6D3C5ABD"/>
    <w:rsid w:val="6E1566E0"/>
    <w:rsid w:val="6E3A2D66"/>
    <w:rsid w:val="6E434EA1"/>
    <w:rsid w:val="6E9968FE"/>
    <w:rsid w:val="6EE64186"/>
    <w:rsid w:val="6EF42C77"/>
    <w:rsid w:val="6F6253E0"/>
    <w:rsid w:val="6F625A14"/>
    <w:rsid w:val="6FC90F0B"/>
    <w:rsid w:val="6FCA22A3"/>
    <w:rsid w:val="6FE54561"/>
    <w:rsid w:val="6FEB0581"/>
    <w:rsid w:val="6FEE60D1"/>
    <w:rsid w:val="706E50C0"/>
    <w:rsid w:val="70DA32A6"/>
    <w:rsid w:val="70E01009"/>
    <w:rsid w:val="70E317E7"/>
    <w:rsid w:val="70ED4246"/>
    <w:rsid w:val="70EE1F26"/>
    <w:rsid w:val="70FC2021"/>
    <w:rsid w:val="710B4B04"/>
    <w:rsid w:val="7115080A"/>
    <w:rsid w:val="7117119A"/>
    <w:rsid w:val="71596AF6"/>
    <w:rsid w:val="71633430"/>
    <w:rsid w:val="71702154"/>
    <w:rsid w:val="717B7C26"/>
    <w:rsid w:val="71B1035C"/>
    <w:rsid w:val="71DA0900"/>
    <w:rsid w:val="71ED2863"/>
    <w:rsid w:val="72045BB5"/>
    <w:rsid w:val="722C40A6"/>
    <w:rsid w:val="72625CBC"/>
    <w:rsid w:val="727D4AF5"/>
    <w:rsid w:val="72AF0B9A"/>
    <w:rsid w:val="72C02149"/>
    <w:rsid w:val="73154FD7"/>
    <w:rsid w:val="73464F28"/>
    <w:rsid w:val="740C4DD0"/>
    <w:rsid w:val="74247876"/>
    <w:rsid w:val="742B7FAE"/>
    <w:rsid w:val="74306D2C"/>
    <w:rsid w:val="74473732"/>
    <w:rsid w:val="74535CCA"/>
    <w:rsid w:val="746D3A32"/>
    <w:rsid w:val="747B1414"/>
    <w:rsid w:val="74E60282"/>
    <w:rsid w:val="75095F53"/>
    <w:rsid w:val="75441569"/>
    <w:rsid w:val="755A3C18"/>
    <w:rsid w:val="757E23E4"/>
    <w:rsid w:val="75AF03D0"/>
    <w:rsid w:val="75B149C7"/>
    <w:rsid w:val="75B45452"/>
    <w:rsid w:val="75BC51D0"/>
    <w:rsid w:val="75BE23F4"/>
    <w:rsid w:val="75D416AC"/>
    <w:rsid w:val="75E84956"/>
    <w:rsid w:val="75EE0EF3"/>
    <w:rsid w:val="760F7A60"/>
    <w:rsid w:val="763F02DD"/>
    <w:rsid w:val="765E6ACD"/>
    <w:rsid w:val="76704772"/>
    <w:rsid w:val="76745605"/>
    <w:rsid w:val="76954CF7"/>
    <w:rsid w:val="76AE2875"/>
    <w:rsid w:val="76AF06E6"/>
    <w:rsid w:val="76B006CC"/>
    <w:rsid w:val="76C07AAA"/>
    <w:rsid w:val="76CB6B69"/>
    <w:rsid w:val="76D917F1"/>
    <w:rsid w:val="76EF1F9A"/>
    <w:rsid w:val="77426605"/>
    <w:rsid w:val="774F02AA"/>
    <w:rsid w:val="77736A94"/>
    <w:rsid w:val="779F577C"/>
    <w:rsid w:val="780E66BC"/>
    <w:rsid w:val="782228B7"/>
    <w:rsid w:val="78305AE1"/>
    <w:rsid w:val="78733D12"/>
    <w:rsid w:val="78750F8D"/>
    <w:rsid w:val="787769B5"/>
    <w:rsid w:val="78776D53"/>
    <w:rsid w:val="789471D5"/>
    <w:rsid w:val="78B438F3"/>
    <w:rsid w:val="78DD1797"/>
    <w:rsid w:val="78DD1C79"/>
    <w:rsid w:val="78EF5568"/>
    <w:rsid w:val="790C708B"/>
    <w:rsid w:val="79432D09"/>
    <w:rsid w:val="797A5806"/>
    <w:rsid w:val="798D4B75"/>
    <w:rsid w:val="79A37BBD"/>
    <w:rsid w:val="79D514A8"/>
    <w:rsid w:val="79FB30DD"/>
    <w:rsid w:val="7A3F341B"/>
    <w:rsid w:val="7A542779"/>
    <w:rsid w:val="7A552AD1"/>
    <w:rsid w:val="7A6870C6"/>
    <w:rsid w:val="7A7F58FF"/>
    <w:rsid w:val="7A8C6818"/>
    <w:rsid w:val="7A8E51C0"/>
    <w:rsid w:val="7A9F411A"/>
    <w:rsid w:val="7AA00AFD"/>
    <w:rsid w:val="7AAA77FD"/>
    <w:rsid w:val="7AE90A6B"/>
    <w:rsid w:val="7AEF02AD"/>
    <w:rsid w:val="7B180A13"/>
    <w:rsid w:val="7B1C0E5C"/>
    <w:rsid w:val="7B514AAB"/>
    <w:rsid w:val="7B603DB0"/>
    <w:rsid w:val="7B7036F4"/>
    <w:rsid w:val="7B8A2718"/>
    <w:rsid w:val="7BCC6881"/>
    <w:rsid w:val="7BD54D49"/>
    <w:rsid w:val="7BEC55F2"/>
    <w:rsid w:val="7C0379C0"/>
    <w:rsid w:val="7C2A58B0"/>
    <w:rsid w:val="7C3330C8"/>
    <w:rsid w:val="7C47257D"/>
    <w:rsid w:val="7C5643D7"/>
    <w:rsid w:val="7C56536B"/>
    <w:rsid w:val="7C5A40DE"/>
    <w:rsid w:val="7CD422B6"/>
    <w:rsid w:val="7CE86CA7"/>
    <w:rsid w:val="7CE87FCB"/>
    <w:rsid w:val="7CF7325A"/>
    <w:rsid w:val="7D064990"/>
    <w:rsid w:val="7D1B7F1B"/>
    <w:rsid w:val="7D291E5B"/>
    <w:rsid w:val="7DAE05F7"/>
    <w:rsid w:val="7DBF7A76"/>
    <w:rsid w:val="7DD90E26"/>
    <w:rsid w:val="7DEA6B7B"/>
    <w:rsid w:val="7E1A33C1"/>
    <w:rsid w:val="7E3416CE"/>
    <w:rsid w:val="7E3C503A"/>
    <w:rsid w:val="7E4E2F22"/>
    <w:rsid w:val="7EA678AB"/>
    <w:rsid w:val="7ECF5E07"/>
    <w:rsid w:val="7ED36730"/>
    <w:rsid w:val="7EEE42B9"/>
    <w:rsid w:val="7F2B06EF"/>
    <w:rsid w:val="7F2E6D52"/>
    <w:rsid w:val="7F330CA7"/>
    <w:rsid w:val="7F50406E"/>
    <w:rsid w:val="7F706DB9"/>
    <w:rsid w:val="7F885F46"/>
    <w:rsid w:val="7F89760C"/>
    <w:rsid w:val="7F900C80"/>
    <w:rsid w:val="7FD97D68"/>
    <w:rsid w:val="7FE703A8"/>
    <w:rsid w:val="7FEF0E8B"/>
    <w:rsid w:val="7FF9230A"/>
    <w:rsid w:val="7FFC1A96"/>
    <w:rsid w:val="7FFE40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Body Text"/>
    <w:basedOn w:val="1"/>
    <w:link w:val="22"/>
    <w:qFormat/>
    <w:uiPriority w:val="99"/>
    <w:pPr>
      <w:spacing w:beforeLines="30"/>
    </w:pPr>
    <w:rPr>
      <w:rFonts w:ascii="仿宋_GB2312" w:eastAsia="仿宋_GB2312"/>
      <w:kern w:val="0"/>
      <w:sz w:val="30"/>
    </w:rPr>
  </w:style>
  <w:style w:type="paragraph" w:styleId="6">
    <w:name w:val="toc 3"/>
    <w:basedOn w:val="1"/>
    <w:next w:val="1"/>
    <w:unhideWhenUsed/>
    <w:qFormat/>
    <w:uiPriority w:val="39"/>
    <w:pPr>
      <w:tabs>
        <w:tab w:val="right" w:leader="dot" w:pos="8296"/>
      </w:tabs>
      <w:ind w:left="840" w:leftChars="400"/>
    </w:pPr>
  </w:style>
  <w:style w:type="paragraph" w:styleId="7">
    <w:name w:val="Balloon Text"/>
    <w:basedOn w:val="1"/>
    <w:link w:val="28"/>
    <w:semiHidden/>
    <w:unhideWhenUsed/>
    <w:qFormat/>
    <w:uiPriority w:val="99"/>
    <w:rPr>
      <w:sz w:val="18"/>
      <w:szCs w:val="18"/>
    </w:rPr>
  </w:style>
  <w:style w:type="paragraph" w:styleId="8">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18"/>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1">
    <w:name w:val="toc 2"/>
    <w:basedOn w:val="1"/>
    <w:next w:val="1"/>
    <w:unhideWhenUsed/>
    <w:qFormat/>
    <w:uiPriority w:val="39"/>
    <w:pPr>
      <w:tabs>
        <w:tab w:val="right" w:leader="dot" w:pos="8296"/>
      </w:tabs>
      <w:ind w:left="420" w:leftChars="200"/>
    </w:p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5">
    <w:name w:val="Strong"/>
    <w:basedOn w:val="14"/>
    <w:qFormat/>
    <w:uiPriority w:val="99"/>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Header Char"/>
    <w:basedOn w:val="14"/>
    <w:semiHidden/>
    <w:qFormat/>
    <w:uiPriority w:val="99"/>
    <w:rPr>
      <w:rFonts w:ascii="Times New Roman" w:hAnsi="Times New Roman"/>
      <w:sz w:val="18"/>
      <w:szCs w:val="18"/>
    </w:rPr>
  </w:style>
  <w:style w:type="character" w:customStyle="1" w:styleId="18">
    <w:name w:val="页眉 Char"/>
    <w:link w:val="9"/>
    <w:semiHidden/>
    <w:qFormat/>
    <w:locked/>
    <w:uiPriority w:val="99"/>
    <w:rPr>
      <w:sz w:val="18"/>
    </w:rPr>
  </w:style>
  <w:style w:type="character" w:customStyle="1" w:styleId="19">
    <w:name w:val="Footer Char"/>
    <w:basedOn w:val="14"/>
    <w:semiHidden/>
    <w:qFormat/>
    <w:uiPriority w:val="99"/>
    <w:rPr>
      <w:rFonts w:ascii="Times New Roman" w:hAnsi="Times New Roman"/>
      <w:sz w:val="18"/>
      <w:szCs w:val="18"/>
    </w:rPr>
  </w:style>
  <w:style w:type="character" w:customStyle="1" w:styleId="20">
    <w:name w:val="页脚 Char"/>
    <w:link w:val="8"/>
    <w:qFormat/>
    <w:locked/>
    <w:uiPriority w:val="99"/>
    <w:rPr>
      <w:sz w:val="18"/>
    </w:rPr>
  </w:style>
  <w:style w:type="character" w:customStyle="1" w:styleId="21">
    <w:name w:val="Body Text Char"/>
    <w:basedOn w:val="14"/>
    <w:semiHidden/>
    <w:qFormat/>
    <w:uiPriority w:val="99"/>
    <w:rPr>
      <w:rFonts w:ascii="Times New Roman" w:hAnsi="Times New Roman"/>
      <w:szCs w:val="24"/>
    </w:rPr>
  </w:style>
  <w:style w:type="character" w:customStyle="1" w:styleId="22">
    <w:name w:val="正文文本 Char"/>
    <w:link w:val="5"/>
    <w:qFormat/>
    <w:locked/>
    <w:uiPriority w:val="99"/>
    <w:rPr>
      <w:rFonts w:ascii="仿宋_GB2312" w:hAnsi="Times New Roman" w:eastAsia="仿宋_GB2312"/>
      <w:sz w:val="24"/>
    </w:rPr>
  </w:style>
  <w:style w:type="paragraph" w:customStyle="1" w:styleId="2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4">
    <w:name w:val="List Paragraph"/>
    <w:basedOn w:val="1"/>
    <w:qFormat/>
    <w:uiPriority w:val="34"/>
    <w:pPr>
      <w:ind w:firstLine="420" w:firstLineChars="200"/>
    </w:pPr>
  </w:style>
  <w:style w:type="character" w:customStyle="1" w:styleId="25">
    <w:name w:val="标题 1 Char"/>
    <w:basedOn w:val="14"/>
    <w:link w:val="2"/>
    <w:qFormat/>
    <w:uiPriority w:val="9"/>
    <w:rPr>
      <w:rFonts w:ascii="Times New Roman" w:hAnsi="Times New Roman"/>
      <w:b/>
      <w:bCs/>
      <w:kern w:val="44"/>
      <w:sz w:val="44"/>
      <w:szCs w:val="44"/>
    </w:rPr>
  </w:style>
  <w:style w:type="character" w:customStyle="1" w:styleId="26">
    <w:name w:val="标题 2 Char"/>
    <w:basedOn w:val="14"/>
    <w:link w:val="3"/>
    <w:qFormat/>
    <w:uiPriority w:val="9"/>
    <w:rPr>
      <w:rFonts w:asciiTheme="majorHAnsi" w:hAnsiTheme="majorHAnsi" w:eastAsiaTheme="majorEastAsia" w:cstheme="majorBidi"/>
      <w:b/>
      <w:bCs/>
      <w:kern w:val="2"/>
      <w:sz w:val="32"/>
      <w:szCs w:val="32"/>
    </w:rPr>
  </w:style>
  <w:style w:type="paragraph" w:customStyle="1" w:styleId="27">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批注框文本 Char"/>
    <w:basedOn w:val="14"/>
    <w:link w:val="7"/>
    <w:semiHidden/>
    <w:qFormat/>
    <w:uiPriority w:val="99"/>
    <w:rPr>
      <w:rFonts w:ascii="Times New Roman" w:hAnsi="Times New Roman"/>
      <w:kern w:val="2"/>
      <w:sz w:val="18"/>
      <w:szCs w:val="18"/>
    </w:rPr>
  </w:style>
  <w:style w:type="character" w:customStyle="1" w:styleId="29">
    <w:name w:val="font71"/>
    <w:basedOn w:val="14"/>
    <w:qFormat/>
    <w:uiPriority w:val="0"/>
    <w:rPr>
      <w:rFonts w:hint="eastAsia" w:ascii="宋体" w:hAnsi="宋体" w:eastAsia="宋体" w:cs="宋体"/>
      <w:color w:val="000000"/>
      <w:sz w:val="24"/>
      <w:szCs w:val="24"/>
      <w:u w:val="none"/>
    </w:rPr>
  </w:style>
  <w:style w:type="character" w:customStyle="1" w:styleId="30">
    <w:name w:val="font11"/>
    <w:basedOn w:val="14"/>
    <w:qFormat/>
    <w:uiPriority w:val="0"/>
    <w:rPr>
      <w:rFonts w:hint="default" w:ascii="Times New Roman" w:hAnsi="Times New Roman" w:cs="Times New Roman"/>
      <w:color w:val="000000"/>
      <w:sz w:val="24"/>
      <w:szCs w:val="24"/>
      <w:u w:val="none"/>
    </w:rPr>
  </w:style>
  <w:style w:type="character" w:customStyle="1" w:styleId="31">
    <w:name w:val="??????1"/>
    <w:qFormat/>
    <w:uiPriority w:val="0"/>
  </w:style>
  <w:style w:type="character" w:customStyle="1" w:styleId="32">
    <w:name w:val="font41"/>
    <w:basedOn w:val="14"/>
    <w:qFormat/>
    <w:uiPriority w:val="0"/>
    <w:rPr>
      <w:rFonts w:ascii="Arial" w:hAnsi="Arial" w:cs="Arial"/>
      <w:b/>
      <w:bCs/>
      <w:color w:val="000000"/>
      <w:sz w:val="24"/>
      <w:szCs w:val="24"/>
      <w:u w:val="none"/>
    </w:rPr>
  </w:style>
  <w:style w:type="paragraph" w:customStyle="1" w:styleId="33">
    <w:name w:val="样式1"/>
    <w:basedOn w:val="3"/>
    <w:next w:val="1"/>
    <w:qFormat/>
    <w:uiPriority w:val="0"/>
    <w:pPr>
      <w:adjustRightInd w:val="0"/>
      <w:snapToGrid w:val="0"/>
      <w:spacing w:beforeLines="0" w:line="600" w:lineRule="exact"/>
      <w:ind w:firstLine="675" w:firstLineChars="210"/>
      <w:outlineLvl w:val="2"/>
    </w:pPr>
    <w:rPr>
      <w:rFonts w:hint="eastAsia" w:ascii="楷体" w:hAnsi="楷体" w:eastAsia="楷体" w:cs="楷体"/>
      <w:color w:val="000000"/>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A39B13-9B89-4114-8BE3-5344B93C7A90}">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53</Pages>
  <Words>19332</Words>
  <Characters>20948</Characters>
  <Lines>68</Lines>
  <Paragraphs>19</Paragraphs>
  <TotalTime>6</TotalTime>
  <ScaleCrop>false</ScaleCrop>
  <LinksUpToDate>false</LinksUpToDate>
  <CharactersWithSpaces>21032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2019-08-01T01:14:00Z</dcterms:created>
  <dc:creator>张彬茜</dc:creator>
  <cp:lastModifiedBy>贺堃</cp:lastModifiedBy>
  <cp:lastPrinted>2021-08-30T06:47:00Z</cp:lastPrinted>
  <dcterms:modified xsi:type="dcterms:W3CDTF">2022-11-14T03:12:53Z</dcterms:modified>
  <dc:title>四川省***</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SaveFontToCloudKey">
    <vt:lpwstr>291572335_embed</vt:lpwstr>
  </property>
  <property fmtid="{D5CDD505-2E9C-101B-9397-08002B2CF9AE}" pid="4" name="ICV">
    <vt:lpwstr>EE322517613D40818D0E44D8ED58DBF2</vt:lpwstr>
  </property>
</Properties>
</file>