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djustRightInd w:val="0"/>
        <w:snapToGrid w:val="0"/>
        <w:spacing w:line="360" w:lineRule="auto"/>
        <w:jc w:val="center"/>
        <w:outlineLvl w:val="0"/>
        <w:rPr>
          <w:rFonts w:eastAsia="方正小标宋简体"/>
          <w:b/>
          <w:bCs/>
          <w:color w:val="000000"/>
          <w:sz w:val="72"/>
          <w:szCs w:val="72"/>
        </w:rPr>
      </w:pPr>
      <w:bookmarkStart w:id="0" w:name="_Toc15306267"/>
    </w:p>
    <w:p>
      <w:pPr>
        <w:adjustRightInd w:val="0"/>
        <w:snapToGrid w:val="0"/>
        <w:spacing w:line="360" w:lineRule="auto"/>
        <w:jc w:val="center"/>
        <w:outlineLvl w:val="0"/>
        <w:rPr>
          <w:rFonts w:eastAsia="方正小标宋简体"/>
          <w:b/>
          <w:bCs/>
          <w:color w:val="000000"/>
          <w:sz w:val="72"/>
          <w:szCs w:val="72"/>
        </w:rPr>
      </w:pPr>
    </w:p>
    <w:p>
      <w:pPr>
        <w:adjustRightInd w:val="0"/>
        <w:snapToGrid w:val="0"/>
        <w:spacing w:line="360" w:lineRule="auto"/>
        <w:jc w:val="center"/>
        <w:outlineLvl w:val="0"/>
        <w:rPr>
          <w:rFonts w:eastAsia="方正小标宋简体"/>
          <w:b/>
          <w:bCs/>
          <w:color w:val="000000"/>
          <w:sz w:val="72"/>
          <w:szCs w:val="72"/>
        </w:rPr>
      </w:pPr>
    </w:p>
    <w:p>
      <w:pPr>
        <w:adjustRightInd w:val="0"/>
        <w:snapToGrid w:val="0"/>
        <w:spacing w:line="360" w:lineRule="auto"/>
        <w:jc w:val="center"/>
        <w:outlineLvl w:val="0"/>
        <w:rPr>
          <w:rFonts w:eastAsia="方正小标宋简体"/>
          <w:b/>
          <w:bCs/>
          <w:color w:val="000000"/>
          <w:sz w:val="72"/>
          <w:szCs w:val="72"/>
        </w:rPr>
      </w:pPr>
    </w:p>
    <w:p>
      <w:pPr>
        <w:jc w:val="center"/>
        <w:rPr>
          <w:rFonts w:ascii="方正小标宋简体" w:eastAsia="方正小标宋简体"/>
          <w:b/>
          <w:sz w:val="72"/>
          <w:szCs w:val="72"/>
        </w:rPr>
      </w:pPr>
      <w:bookmarkStart w:id="1" w:name="_Toc15377425"/>
      <w:bookmarkStart w:id="2" w:name="_Toc15396597"/>
      <w:bookmarkStart w:id="3" w:name="_Toc15396475"/>
      <w:bookmarkStart w:id="4" w:name="_Toc15377193"/>
      <w:bookmarkStart w:id="5" w:name="_Toc15378441"/>
      <w:bookmarkStart w:id="6" w:name="_Toc24726"/>
      <w:bookmarkStart w:id="7" w:name="_Toc23939"/>
      <w:bookmarkStart w:id="8" w:name="_Toc8641"/>
      <w:bookmarkStart w:id="9" w:name="_Toc20864"/>
      <w:bookmarkStart w:id="10" w:name="_Toc80697272"/>
      <w:bookmarkStart w:id="11" w:name="_Toc7868"/>
      <w:r>
        <w:rPr>
          <w:rFonts w:hint="eastAsia" w:ascii="方正小标宋简体" w:eastAsia="方正小标宋简体"/>
          <w:b/>
          <w:sz w:val="72"/>
          <w:szCs w:val="72"/>
        </w:rPr>
        <w:t>2020年度</w:t>
      </w:r>
      <w:bookmarkEnd w:id="1"/>
      <w:bookmarkEnd w:id="2"/>
      <w:bookmarkEnd w:id="3"/>
      <w:bookmarkEnd w:id="4"/>
      <w:bookmarkEnd w:id="5"/>
      <w:bookmarkStart w:id="12" w:name="_Toc15396476"/>
      <w:bookmarkStart w:id="13" w:name="_Toc15378442"/>
      <w:bookmarkStart w:id="14" w:name="_Toc15377194"/>
      <w:bookmarkStart w:id="15" w:name="_Toc15377426"/>
      <w:bookmarkStart w:id="16" w:name="_Toc15396598"/>
      <w:r>
        <w:rPr>
          <w:rFonts w:hint="eastAsia" w:ascii="方正小标宋简体" w:eastAsia="方正小标宋简体"/>
          <w:b/>
          <w:sz w:val="72"/>
          <w:szCs w:val="72"/>
        </w:rPr>
        <w:t>四川</w:t>
      </w:r>
      <w:bookmarkEnd w:id="0"/>
      <w:bookmarkEnd w:id="6"/>
      <w:bookmarkEnd w:id="7"/>
      <w:bookmarkEnd w:id="8"/>
      <w:bookmarkEnd w:id="9"/>
      <w:bookmarkStart w:id="17" w:name="_Toc15306268"/>
      <w:bookmarkStart w:id="18" w:name="_Toc20047"/>
      <w:bookmarkStart w:id="19" w:name="_Toc11522"/>
      <w:bookmarkStart w:id="20" w:name="_Toc5414"/>
      <w:bookmarkStart w:id="21" w:name="_Toc5019"/>
      <w:r>
        <w:rPr>
          <w:rFonts w:hint="eastAsia" w:ascii="方正小标宋简体" w:eastAsia="方正小标宋简体"/>
          <w:b/>
          <w:sz w:val="72"/>
          <w:szCs w:val="72"/>
        </w:rPr>
        <w:t>省委办公厅</w:t>
      </w:r>
    </w:p>
    <w:p>
      <w:pPr>
        <w:jc w:val="center"/>
        <w:rPr>
          <w:rFonts w:ascii="方正小标宋简体" w:eastAsia="方正小标宋简体"/>
          <w:b/>
          <w:sz w:val="72"/>
          <w:szCs w:val="72"/>
        </w:rPr>
      </w:pPr>
      <w:r>
        <w:rPr>
          <w:rFonts w:hint="eastAsia" w:ascii="方正小标宋简体" w:eastAsia="方正小标宋简体"/>
          <w:b/>
          <w:sz w:val="72"/>
          <w:szCs w:val="72"/>
        </w:rPr>
        <w:t>互联网信息中心单位决算</w:t>
      </w:r>
      <w:bookmarkEnd w:id="10"/>
      <w:bookmarkEnd w:id="11"/>
      <w:bookmarkEnd w:id="12"/>
      <w:bookmarkEnd w:id="13"/>
      <w:bookmarkEnd w:id="14"/>
      <w:bookmarkEnd w:id="15"/>
      <w:bookmarkEnd w:id="16"/>
      <w:bookmarkEnd w:id="17"/>
      <w:bookmarkEnd w:id="18"/>
      <w:bookmarkEnd w:id="19"/>
      <w:bookmarkEnd w:id="20"/>
      <w:bookmarkEnd w:id="21"/>
    </w:p>
    <w:p>
      <w:pPr>
        <w:widowControl/>
        <w:jc w:val="left"/>
        <w:rPr>
          <w:rFonts w:eastAsia="黑体"/>
          <w:b/>
          <w:bCs/>
          <w:color w:val="000000"/>
          <w:sz w:val="48"/>
          <w:szCs w:val="48"/>
        </w:rPr>
      </w:pPr>
      <w:r>
        <w:rPr>
          <w:rFonts w:eastAsia="黑体"/>
          <w:b/>
          <w:bCs/>
          <w:color w:val="000000"/>
          <w:sz w:val="48"/>
          <w:szCs w:val="48"/>
        </w:rPr>
        <w:br w:type="page"/>
      </w:r>
    </w:p>
    <w:p>
      <w:pPr>
        <w:widowControl/>
        <w:adjustRightInd w:val="0"/>
        <w:snapToGrid w:val="0"/>
        <w:spacing w:line="360" w:lineRule="auto"/>
        <w:jc w:val="center"/>
        <w:rPr>
          <w:rFonts w:eastAsia="黑体"/>
          <w:b/>
          <w:bCs/>
          <w:color w:val="000000"/>
          <w:sz w:val="48"/>
          <w:szCs w:val="48"/>
        </w:rPr>
        <w:sectPr>
          <w:headerReference r:id="rId3" w:type="default"/>
          <w:footerReference r:id="rId4" w:type="default"/>
          <w:pgSz w:w="11906" w:h="16838"/>
          <w:pgMar w:top="1440" w:right="1800" w:bottom="1440" w:left="1800" w:header="851" w:footer="992" w:gutter="0"/>
          <w:pgNumType w:start="1"/>
          <w:cols w:space="425" w:num="1"/>
          <w:titlePg/>
          <w:docGrid w:type="lines" w:linePitch="312" w:charSpace="0"/>
        </w:sectPr>
      </w:pPr>
    </w:p>
    <w:p>
      <w:pPr>
        <w:widowControl/>
        <w:adjustRightInd w:val="0"/>
        <w:snapToGrid w:val="0"/>
        <w:spacing w:line="360" w:lineRule="auto"/>
        <w:jc w:val="center"/>
        <w:rPr>
          <w:rFonts w:eastAsia="黑体"/>
          <w:b/>
          <w:bCs/>
          <w:color w:val="000000"/>
          <w:sz w:val="48"/>
          <w:szCs w:val="48"/>
        </w:rPr>
      </w:pPr>
      <w:r>
        <w:rPr>
          <w:rFonts w:eastAsia="黑体"/>
          <w:b/>
          <w:bCs/>
          <w:color w:val="000000"/>
          <w:sz w:val="48"/>
          <w:szCs w:val="48"/>
        </w:rPr>
        <w:t>目录</w:t>
      </w:r>
    </w:p>
    <w:p>
      <w:pPr>
        <w:widowControl/>
        <w:adjustRightInd w:val="0"/>
        <w:snapToGrid w:val="0"/>
        <w:spacing w:line="360" w:lineRule="auto"/>
        <w:jc w:val="center"/>
        <w:rPr>
          <w:rFonts w:ascii="黑体" w:hAnsi="黑体" w:eastAsia="黑体" w:cs="黑体"/>
          <w:b/>
          <w:bCs/>
        </w:rPr>
      </w:pPr>
      <w:r>
        <w:rPr>
          <w:rFonts w:hint="eastAsia" w:ascii="黑体" w:hAnsi="黑体" w:eastAsia="黑体" w:cs="黑体"/>
          <w:b/>
          <w:bCs/>
        </w:rPr>
        <w:t>公开时间：2021年9月10日</w:t>
      </w:r>
      <w:bookmarkStart w:id="22" w:name="_Toc15377196"/>
    </w:p>
    <w:p>
      <w:pPr>
        <w:pStyle w:val="9"/>
        <w:tabs>
          <w:tab w:val="right" w:leader="dot" w:pos="8306"/>
          <w:tab w:val="clear" w:pos="8296"/>
        </w:tabs>
        <w:rPr>
          <w:rFonts w:ascii="黑体" w:hAnsi="黑体" w:eastAsia="黑体" w:cs="黑体"/>
        </w:rPr>
      </w:pPr>
      <w:r>
        <w:rPr>
          <w:rFonts w:hint="eastAsia" w:ascii="黑体" w:hAnsi="黑体" w:eastAsia="黑体" w:cs="黑体"/>
          <w:b/>
          <w:bCs/>
        </w:rPr>
        <w:fldChar w:fldCharType="begin"/>
      </w:r>
      <w:r>
        <w:rPr>
          <w:rFonts w:hint="eastAsia" w:ascii="黑体" w:hAnsi="黑体" w:eastAsia="黑体" w:cs="黑体"/>
          <w:b/>
          <w:bCs/>
        </w:rPr>
        <w:instrText xml:space="preserve"> TOC \o "1-2" \h \z \u </w:instrText>
      </w:r>
      <w:r>
        <w:rPr>
          <w:rFonts w:hint="eastAsia" w:ascii="黑体" w:hAnsi="黑体" w:eastAsia="黑体" w:cs="黑体"/>
          <w:b/>
          <w:bCs/>
        </w:rPr>
        <w:fldChar w:fldCharType="separate"/>
      </w:r>
      <w:r>
        <w:fldChar w:fldCharType="begin"/>
      </w:r>
      <w:r>
        <w:instrText xml:space="preserve"> HYPERLINK \l "_Toc18827" </w:instrText>
      </w:r>
      <w:r>
        <w:fldChar w:fldCharType="separate"/>
      </w:r>
      <w:r>
        <w:rPr>
          <w:rFonts w:hint="eastAsia" w:ascii="黑体" w:hAnsi="黑体" w:eastAsia="黑体" w:cs="黑体"/>
        </w:rPr>
        <w:t>第一部分 单位</w:t>
      </w:r>
      <w:r>
        <w:rPr>
          <w:rFonts w:hint="eastAsia" w:ascii="黑体" w:hAnsi="黑体" w:eastAsia="黑体" w:cs="黑体"/>
          <w:bCs/>
        </w:rPr>
        <w:t>概况</w:t>
      </w:r>
      <w:r>
        <w:rPr>
          <w:rFonts w:hint="eastAsia" w:ascii="黑体" w:hAnsi="黑体" w:eastAsia="黑体" w:cs="黑体"/>
        </w:rPr>
        <w:tab/>
      </w:r>
      <w:r>
        <w:rPr>
          <w:rFonts w:hint="eastAsia" w:ascii="黑体" w:hAnsi="黑体" w:eastAsia="黑体" w:cs="黑体"/>
        </w:rPr>
        <w:fldChar w:fldCharType="begin"/>
      </w:r>
      <w:r>
        <w:rPr>
          <w:rFonts w:hint="eastAsia" w:ascii="黑体" w:hAnsi="黑体" w:eastAsia="黑体" w:cs="黑体"/>
        </w:rPr>
        <w:instrText xml:space="preserve"> PAGEREF _Toc18827 \h </w:instrText>
      </w:r>
      <w:r>
        <w:rPr>
          <w:rFonts w:hint="eastAsia" w:ascii="黑体" w:hAnsi="黑体" w:eastAsia="黑体" w:cs="黑体"/>
        </w:rPr>
        <w:fldChar w:fldCharType="separate"/>
      </w:r>
      <w:r>
        <w:rPr>
          <w:rFonts w:hint="eastAsia" w:ascii="黑体" w:hAnsi="黑体" w:eastAsia="黑体" w:cs="黑体"/>
        </w:rPr>
        <w:t>1</w:t>
      </w:r>
      <w:r>
        <w:rPr>
          <w:rFonts w:hint="eastAsia" w:ascii="黑体" w:hAnsi="黑体" w:eastAsia="黑体" w:cs="黑体"/>
        </w:rPr>
        <w:fldChar w:fldCharType="end"/>
      </w:r>
      <w:r>
        <w:rPr>
          <w:rFonts w:hint="eastAsia" w:ascii="黑体" w:hAnsi="黑体" w:eastAsia="黑体" w:cs="黑体"/>
        </w:rPr>
        <w:fldChar w:fldCharType="end"/>
      </w:r>
    </w:p>
    <w:p>
      <w:pPr>
        <w:pStyle w:val="10"/>
        <w:tabs>
          <w:tab w:val="right" w:leader="dot" w:pos="8306"/>
          <w:tab w:val="clear" w:pos="8296"/>
        </w:tabs>
        <w:rPr>
          <w:rFonts w:ascii="黑体" w:hAnsi="黑体" w:eastAsia="黑体" w:cs="黑体"/>
        </w:rPr>
      </w:pPr>
      <w:r>
        <w:fldChar w:fldCharType="begin"/>
      </w:r>
      <w:r>
        <w:instrText xml:space="preserve"> HYPERLINK \l "_Toc27159" </w:instrText>
      </w:r>
      <w:r>
        <w:fldChar w:fldCharType="separate"/>
      </w:r>
      <w:r>
        <w:rPr>
          <w:rFonts w:hint="eastAsia" w:ascii="黑体" w:hAnsi="黑体" w:eastAsia="黑体" w:cs="黑体"/>
        </w:rPr>
        <w:t>一、</w:t>
      </w:r>
      <w:r>
        <w:rPr>
          <w:rFonts w:hint="eastAsia" w:ascii="黑体" w:hAnsi="黑体" w:eastAsia="黑体" w:cs="黑体"/>
          <w:bCs/>
        </w:rPr>
        <w:t>职能简介</w:t>
      </w:r>
      <w:r>
        <w:rPr>
          <w:rFonts w:hint="eastAsia" w:ascii="黑体" w:hAnsi="黑体" w:eastAsia="黑体" w:cs="黑体"/>
        </w:rPr>
        <w:tab/>
      </w:r>
      <w:r>
        <w:rPr>
          <w:rFonts w:hint="eastAsia" w:ascii="黑体" w:hAnsi="黑体" w:eastAsia="黑体" w:cs="黑体"/>
        </w:rPr>
        <w:fldChar w:fldCharType="begin"/>
      </w:r>
      <w:r>
        <w:rPr>
          <w:rFonts w:hint="eastAsia" w:ascii="黑体" w:hAnsi="黑体" w:eastAsia="黑体" w:cs="黑体"/>
        </w:rPr>
        <w:instrText xml:space="preserve"> PAGEREF _Toc27159 \h </w:instrText>
      </w:r>
      <w:r>
        <w:rPr>
          <w:rFonts w:hint="eastAsia" w:ascii="黑体" w:hAnsi="黑体" w:eastAsia="黑体" w:cs="黑体"/>
        </w:rPr>
        <w:fldChar w:fldCharType="separate"/>
      </w:r>
      <w:r>
        <w:rPr>
          <w:rFonts w:hint="eastAsia" w:ascii="黑体" w:hAnsi="黑体" w:eastAsia="黑体" w:cs="黑体"/>
        </w:rPr>
        <w:t>1</w:t>
      </w:r>
      <w:r>
        <w:rPr>
          <w:rFonts w:hint="eastAsia" w:ascii="黑体" w:hAnsi="黑体" w:eastAsia="黑体" w:cs="黑体"/>
        </w:rPr>
        <w:fldChar w:fldCharType="end"/>
      </w:r>
      <w:r>
        <w:rPr>
          <w:rFonts w:hint="eastAsia" w:ascii="黑体" w:hAnsi="黑体" w:eastAsia="黑体" w:cs="黑体"/>
        </w:rPr>
        <w:fldChar w:fldCharType="end"/>
      </w:r>
    </w:p>
    <w:p>
      <w:pPr>
        <w:pStyle w:val="10"/>
        <w:tabs>
          <w:tab w:val="right" w:leader="dot" w:pos="8306"/>
          <w:tab w:val="clear" w:pos="8296"/>
        </w:tabs>
        <w:rPr>
          <w:rFonts w:hint="eastAsia" w:ascii="黑体" w:hAnsi="黑体" w:eastAsia="黑体" w:cs="黑体"/>
        </w:rPr>
      </w:pPr>
      <w:r>
        <w:fldChar w:fldCharType="begin"/>
      </w:r>
      <w:r>
        <w:instrText xml:space="preserve"> HYPERLINK \l "_Toc14357" </w:instrText>
      </w:r>
      <w:r>
        <w:fldChar w:fldCharType="separate"/>
      </w:r>
      <w:r>
        <w:rPr>
          <w:rFonts w:hint="eastAsia" w:ascii="黑体" w:hAnsi="黑体" w:eastAsia="黑体" w:cs="黑体"/>
        </w:rPr>
        <w:t>二、2020年重点工作完成情况</w:t>
      </w:r>
      <w:r>
        <w:rPr>
          <w:rFonts w:hint="eastAsia" w:ascii="黑体" w:hAnsi="黑体" w:eastAsia="黑体" w:cs="黑体"/>
        </w:rPr>
        <w:tab/>
      </w:r>
      <w:r>
        <w:rPr>
          <w:rFonts w:hint="eastAsia" w:ascii="黑体" w:hAnsi="黑体" w:eastAsia="黑体" w:cs="黑体"/>
        </w:rPr>
        <w:fldChar w:fldCharType="begin"/>
      </w:r>
      <w:r>
        <w:rPr>
          <w:rFonts w:hint="eastAsia" w:ascii="黑体" w:hAnsi="黑体" w:eastAsia="黑体" w:cs="黑体"/>
        </w:rPr>
        <w:instrText xml:space="preserve"> PAGEREF _Toc14357 \h </w:instrText>
      </w:r>
      <w:r>
        <w:rPr>
          <w:rFonts w:hint="eastAsia" w:ascii="黑体" w:hAnsi="黑体" w:eastAsia="黑体" w:cs="黑体"/>
        </w:rPr>
        <w:fldChar w:fldCharType="separate"/>
      </w:r>
      <w:r>
        <w:rPr>
          <w:rFonts w:hint="eastAsia" w:ascii="黑体" w:hAnsi="黑体" w:eastAsia="黑体" w:cs="黑体"/>
        </w:rPr>
        <w:t>1</w:t>
      </w:r>
      <w:r>
        <w:rPr>
          <w:rFonts w:hint="eastAsia" w:ascii="黑体" w:hAnsi="黑体" w:eastAsia="黑体" w:cs="黑体"/>
        </w:rPr>
        <w:fldChar w:fldCharType="end"/>
      </w:r>
      <w:r>
        <w:rPr>
          <w:rFonts w:hint="eastAsia" w:ascii="黑体" w:hAnsi="黑体" w:eastAsia="黑体" w:cs="黑体"/>
        </w:rPr>
        <w:fldChar w:fldCharType="end"/>
      </w:r>
    </w:p>
    <w:p>
      <w:pPr>
        <w:ind w:firstLine="420" w:firstLineChars="200"/>
        <w:rPr>
          <w:rFonts w:hint="default" w:eastAsia="黑体"/>
          <w:lang w:val="en-US" w:eastAsia="zh-CN"/>
        </w:rPr>
      </w:pPr>
      <w:r>
        <w:rPr>
          <w:rFonts w:hint="eastAsia" w:ascii="黑体" w:hAnsi="黑体" w:eastAsia="黑体" w:cs="黑体"/>
        </w:rPr>
        <w:t>三、机构设置情况</w:t>
      </w:r>
      <w:r>
        <w:rPr>
          <w:rFonts w:hint="eastAsia" w:ascii="黑体" w:hAnsi="黑体" w:eastAsia="黑体" w:cs="黑体"/>
          <w:lang w:val="en-US" w:eastAsia="zh-CN"/>
        </w:rPr>
        <w:t>..........................................................1</w:t>
      </w:r>
    </w:p>
    <w:p>
      <w:pPr>
        <w:pStyle w:val="9"/>
        <w:tabs>
          <w:tab w:val="right" w:leader="dot" w:pos="8306"/>
          <w:tab w:val="clear" w:pos="8296"/>
        </w:tabs>
        <w:rPr>
          <w:rFonts w:ascii="黑体" w:hAnsi="黑体" w:eastAsia="黑体" w:cs="黑体"/>
        </w:rPr>
      </w:pPr>
      <w:bookmarkStart w:id="107" w:name="_GoBack"/>
      <w:bookmarkEnd w:id="107"/>
      <w:r>
        <w:fldChar w:fldCharType="begin"/>
      </w:r>
      <w:r>
        <w:instrText xml:space="preserve"> HYPERLINK \l "_Toc31593" </w:instrText>
      </w:r>
      <w:r>
        <w:fldChar w:fldCharType="separate"/>
      </w:r>
      <w:r>
        <w:rPr>
          <w:rFonts w:hint="eastAsia" w:ascii="黑体" w:hAnsi="黑体" w:eastAsia="黑体" w:cs="黑体"/>
        </w:rPr>
        <w:t xml:space="preserve">第二部分 </w:t>
      </w:r>
      <w:r>
        <w:rPr>
          <w:rFonts w:hint="eastAsia" w:ascii="黑体" w:hAnsi="黑体" w:eastAsia="黑体" w:cs="黑体"/>
          <w:bCs/>
        </w:rPr>
        <w:t>2020年度单位决算情况说明</w:t>
      </w:r>
      <w:r>
        <w:rPr>
          <w:rFonts w:hint="eastAsia" w:ascii="黑体" w:hAnsi="黑体" w:eastAsia="黑体" w:cs="黑体"/>
        </w:rPr>
        <w:tab/>
      </w:r>
      <w:r>
        <w:rPr>
          <w:rFonts w:hint="eastAsia" w:ascii="黑体" w:hAnsi="黑体" w:eastAsia="黑体" w:cs="黑体"/>
        </w:rPr>
        <w:fldChar w:fldCharType="begin"/>
      </w:r>
      <w:r>
        <w:rPr>
          <w:rFonts w:hint="eastAsia" w:ascii="黑体" w:hAnsi="黑体" w:eastAsia="黑体" w:cs="黑体"/>
        </w:rPr>
        <w:instrText xml:space="preserve"> PAGEREF _Toc31593 \h </w:instrText>
      </w:r>
      <w:r>
        <w:rPr>
          <w:rFonts w:hint="eastAsia" w:ascii="黑体" w:hAnsi="黑体" w:eastAsia="黑体" w:cs="黑体"/>
        </w:rPr>
        <w:fldChar w:fldCharType="separate"/>
      </w:r>
      <w:r>
        <w:rPr>
          <w:rFonts w:hint="eastAsia" w:ascii="黑体" w:hAnsi="黑体" w:eastAsia="黑体" w:cs="黑体"/>
        </w:rPr>
        <w:t>1</w:t>
      </w:r>
      <w:r>
        <w:rPr>
          <w:rFonts w:hint="eastAsia" w:ascii="黑体" w:hAnsi="黑体" w:eastAsia="黑体" w:cs="黑体"/>
        </w:rPr>
        <w:fldChar w:fldCharType="end"/>
      </w:r>
      <w:r>
        <w:rPr>
          <w:rFonts w:hint="eastAsia" w:ascii="黑体" w:hAnsi="黑体" w:eastAsia="黑体" w:cs="黑体"/>
        </w:rPr>
        <w:fldChar w:fldCharType="end"/>
      </w:r>
    </w:p>
    <w:p>
      <w:pPr>
        <w:pStyle w:val="10"/>
        <w:tabs>
          <w:tab w:val="right" w:leader="dot" w:pos="8306"/>
          <w:tab w:val="clear" w:pos="8296"/>
        </w:tabs>
        <w:rPr>
          <w:rFonts w:ascii="黑体" w:hAnsi="黑体" w:eastAsia="黑体" w:cs="黑体"/>
        </w:rPr>
      </w:pPr>
      <w:r>
        <w:fldChar w:fldCharType="begin"/>
      </w:r>
      <w:r>
        <w:instrText xml:space="preserve"> HYPERLINK \l "_Toc13560" </w:instrText>
      </w:r>
      <w:r>
        <w:fldChar w:fldCharType="separate"/>
      </w:r>
      <w:r>
        <w:rPr>
          <w:rFonts w:hint="eastAsia" w:ascii="黑体" w:hAnsi="黑体" w:eastAsia="黑体" w:cs="黑体"/>
        </w:rPr>
        <w:t>一、收入支出决算总体情况说明</w:t>
      </w:r>
      <w:r>
        <w:rPr>
          <w:rFonts w:hint="eastAsia" w:ascii="黑体" w:hAnsi="黑体" w:eastAsia="黑体" w:cs="黑体"/>
        </w:rPr>
        <w:tab/>
      </w:r>
      <w:r>
        <w:rPr>
          <w:rFonts w:hint="eastAsia" w:ascii="黑体" w:hAnsi="黑体" w:eastAsia="黑体" w:cs="黑体"/>
        </w:rPr>
        <w:fldChar w:fldCharType="begin"/>
      </w:r>
      <w:r>
        <w:rPr>
          <w:rFonts w:hint="eastAsia" w:ascii="黑体" w:hAnsi="黑体" w:eastAsia="黑体" w:cs="黑体"/>
        </w:rPr>
        <w:instrText xml:space="preserve"> PAGEREF _Toc13560 \h </w:instrText>
      </w:r>
      <w:r>
        <w:rPr>
          <w:rFonts w:hint="eastAsia" w:ascii="黑体" w:hAnsi="黑体" w:eastAsia="黑体" w:cs="黑体"/>
        </w:rPr>
        <w:fldChar w:fldCharType="separate"/>
      </w:r>
      <w:r>
        <w:rPr>
          <w:rFonts w:hint="eastAsia" w:ascii="黑体" w:hAnsi="黑体" w:eastAsia="黑体" w:cs="黑体"/>
        </w:rPr>
        <w:t>1</w:t>
      </w:r>
      <w:r>
        <w:rPr>
          <w:rFonts w:hint="eastAsia" w:ascii="黑体" w:hAnsi="黑体" w:eastAsia="黑体" w:cs="黑体"/>
        </w:rPr>
        <w:fldChar w:fldCharType="end"/>
      </w:r>
      <w:r>
        <w:rPr>
          <w:rFonts w:hint="eastAsia" w:ascii="黑体" w:hAnsi="黑体" w:eastAsia="黑体" w:cs="黑体"/>
        </w:rPr>
        <w:fldChar w:fldCharType="end"/>
      </w:r>
    </w:p>
    <w:p>
      <w:pPr>
        <w:pStyle w:val="10"/>
        <w:tabs>
          <w:tab w:val="right" w:leader="dot" w:pos="8306"/>
          <w:tab w:val="clear" w:pos="8296"/>
        </w:tabs>
        <w:rPr>
          <w:rFonts w:ascii="黑体" w:hAnsi="黑体" w:eastAsia="黑体" w:cs="黑体"/>
        </w:rPr>
      </w:pPr>
      <w:r>
        <w:fldChar w:fldCharType="begin"/>
      </w:r>
      <w:r>
        <w:instrText xml:space="preserve"> HYPERLINK \l "_Toc7000" </w:instrText>
      </w:r>
      <w:r>
        <w:fldChar w:fldCharType="separate"/>
      </w:r>
      <w:r>
        <w:rPr>
          <w:rFonts w:hint="eastAsia" w:ascii="黑体" w:hAnsi="黑体" w:eastAsia="黑体" w:cs="黑体"/>
        </w:rPr>
        <w:t>二、收入决算情况说明</w:t>
      </w:r>
      <w:r>
        <w:rPr>
          <w:rFonts w:hint="eastAsia" w:ascii="黑体" w:hAnsi="黑体" w:eastAsia="黑体" w:cs="黑体"/>
        </w:rPr>
        <w:tab/>
      </w:r>
      <w:r>
        <w:rPr>
          <w:rFonts w:hint="eastAsia" w:ascii="黑体" w:hAnsi="黑体" w:eastAsia="黑体" w:cs="黑体"/>
        </w:rPr>
        <w:fldChar w:fldCharType="begin"/>
      </w:r>
      <w:r>
        <w:rPr>
          <w:rFonts w:hint="eastAsia" w:ascii="黑体" w:hAnsi="黑体" w:eastAsia="黑体" w:cs="黑体"/>
        </w:rPr>
        <w:instrText xml:space="preserve"> PAGEREF _Toc7000 \h </w:instrText>
      </w:r>
      <w:r>
        <w:rPr>
          <w:rFonts w:hint="eastAsia" w:ascii="黑体" w:hAnsi="黑体" w:eastAsia="黑体" w:cs="黑体"/>
        </w:rPr>
        <w:fldChar w:fldCharType="separate"/>
      </w:r>
      <w:r>
        <w:rPr>
          <w:rFonts w:hint="eastAsia" w:ascii="黑体" w:hAnsi="黑体" w:eastAsia="黑体" w:cs="黑体"/>
        </w:rPr>
        <w:t>1</w:t>
      </w:r>
      <w:r>
        <w:rPr>
          <w:rFonts w:hint="eastAsia" w:ascii="黑体" w:hAnsi="黑体" w:eastAsia="黑体" w:cs="黑体"/>
        </w:rPr>
        <w:fldChar w:fldCharType="end"/>
      </w:r>
      <w:r>
        <w:rPr>
          <w:rFonts w:hint="eastAsia" w:ascii="黑体" w:hAnsi="黑体" w:eastAsia="黑体" w:cs="黑体"/>
        </w:rPr>
        <w:fldChar w:fldCharType="end"/>
      </w:r>
    </w:p>
    <w:p>
      <w:pPr>
        <w:pStyle w:val="10"/>
        <w:tabs>
          <w:tab w:val="right" w:leader="dot" w:pos="8306"/>
          <w:tab w:val="clear" w:pos="8296"/>
        </w:tabs>
        <w:rPr>
          <w:rFonts w:ascii="黑体" w:hAnsi="黑体" w:eastAsia="黑体" w:cs="黑体"/>
        </w:rPr>
      </w:pPr>
      <w:r>
        <w:fldChar w:fldCharType="begin"/>
      </w:r>
      <w:r>
        <w:instrText xml:space="preserve"> HYPERLINK \l "_Toc5633" </w:instrText>
      </w:r>
      <w:r>
        <w:fldChar w:fldCharType="separate"/>
      </w:r>
      <w:r>
        <w:rPr>
          <w:rFonts w:hint="eastAsia" w:ascii="黑体" w:hAnsi="黑体" w:eastAsia="黑体" w:cs="黑体"/>
        </w:rPr>
        <w:t>三、支出决算情况说明</w:t>
      </w:r>
      <w:r>
        <w:rPr>
          <w:rFonts w:hint="eastAsia" w:ascii="黑体" w:hAnsi="黑体" w:eastAsia="黑体" w:cs="黑体"/>
        </w:rPr>
        <w:tab/>
      </w:r>
      <w:r>
        <w:rPr>
          <w:rFonts w:hint="eastAsia" w:ascii="黑体" w:hAnsi="黑体" w:eastAsia="黑体" w:cs="黑体"/>
        </w:rPr>
        <w:fldChar w:fldCharType="begin"/>
      </w:r>
      <w:r>
        <w:rPr>
          <w:rFonts w:hint="eastAsia" w:ascii="黑体" w:hAnsi="黑体" w:eastAsia="黑体" w:cs="黑体"/>
        </w:rPr>
        <w:instrText xml:space="preserve"> PAGEREF _Toc5633 \h </w:instrText>
      </w:r>
      <w:r>
        <w:rPr>
          <w:rFonts w:hint="eastAsia" w:ascii="黑体" w:hAnsi="黑体" w:eastAsia="黑体" w:cs="黑体"/>
        </w:rPr>
        <w:fldChar w:fldCharType="separate"/>
      </w:r>
      <w:r>
        <w:rPr>
          <w:rFonts w:hint="eastAsia" w:ascii="黑体" w:hAnsi="黑体" w:eastAsia="黑体" w:cs="黑体"/>
        </w:rPr>
        <w:t>2</w:t>
      </w:r>
      <w:r>
        <w:rPr>
          <w:rFonts w:hint="eastAsia" w:ascii="黑体" w:hAnsi="黑体" w:eastAsia="黑体" w:cs="黑体"/>
        </w:rPr>
        <w:fldChar w:fldCharType="end"/>
      </w:r>
      <w:r>
        <w:rPr>
          <w:rFonts w:hint="eastAsia" w:ascii="黑体" w:hAnsi="黑体" w:eastAsia="黑体" w:cs="黑体"/>
        </w:rPr>
        <w:fldChar w:fldCharType="end"/>
      </w:r>
    </w:p>
    <w:p>
      <w:pPr>
        <w:pStyle w:val="10"/>
        <w:tabs>
          <w:tab w:val="right" w:leader="dot" w:pos="8306"/>
          <w:tab w:val="clear" w:pos="8296"/>
        </w:tabs>
        <w:rPr>
          <w:rFonts w:ascii="黑体" w:hAnsi="黑体" w:eastAsia="黑体" w:cs="黑体"/>
        </w:rPr>
      </w:pPr>
      <w:r>
        <w:fldChar w:fldCharType="begin"/>
      </w:r>
      <w:r>
        <w:instrText xml:space="preserve"> HYPERLINK \l "_Toc10202" </w:instrText>
      </w:r>
      <w:r>
        <w:fldChar w:fldCharType="separate"/>
      </w:r>
      <w:r>
        <w:rPr>
          <w:rFonts w:hint="eastAsia" w:ascii="黑体" w:hAnsi="黑体" w:eastAsia="黑体" w:cs="黑体"/>
        </w:rPr>
        <w:t>四、财</w:t>
      </w:r>
      <w:r>
        <w:rPr>
          <w:rFonts w:hint="eastAsia" w:ascii="黑体" w:hAnsi="黑体" w:eastAsia="黑体" w:cs="黑体"/>
          <w:bCs/>
        </w:rPr>
        <w:t>政拨款</w:t>
      </w:r>
      <w:r>
        <w:rPr>
          <w:rFonts w:hint="eastAsia" w:ascii="黑体" w:hAnsi="黑体" w:eastAsia="黑体" w:cs="黑体"/>
        </w:rPr>
        <w:t>收入</w:t>
      </w:r>
      <w:r>
        <w:rPr>
          <w:rFonts w:hint="eastAsia" w:ascii="黑体" w:hAnsi="黑体" w:eastAsia="黑体" w:cs="黑体"/>
          <w:bCs/>
        </w:rPr>
        <w:t>支出决算总体情况说明</w:t>
      </w:r>
      <w:r>
        <w:rPr>
          <w:rFonts w:hint="eastAsia" w:ascii="黑体" w:hAnsi="黑体" w:eastAsia="黑体" w:cs="黑体"/>
        </w:rPr>
        <w:tab/>
      </w:r>
      <w:r>
        <w:rPr>
          <w:rFonts w:hint="eastAsia" w:ascii="黑体" w:hAnsi="黑体" w:eastAsia="黑体" w:cs="黑体"/>
        </w:rPr>
        <w:fldChar w:fldCharType="begin"/>
      </w:r>
      <w:r>
        <w:rPr>
          <w:rFonts w:hint="eastAsia" w:ascii="黑体" w:hAnsi="黑体" w:eastAsia="黑体" w:cs="黑体"/>
        </w:rPr>
        <w:instrText xml:space="preserve"> PAGEREF _Toc10202 \h </w:instrText>
      </w:r>
      <w:r>
        <w:rPr>
          <w:rFonts w:hint="eastAsia" w:ascii="黑体" w:hAnsi="黑体" w:eastAsia="黑体" w:cs="黑体"/>
        </w:rPr>
        <w:fldChar w:fldCharType="separate"/>
      </w:r>
      <w:r>
        <w:rPr>
          <w:rFonts w:hint="eastAsia" w:ascii="黑体" w:hAnsi="黑体" w:eastAsia="黑体" w:cs="黑体"/>
        </w:rPr>
        <w:t>2</w:t>
      </w:r>
      <w:r>
        <w:rPr>
          <w:rFonts w:hint="eastAsia" w:ascii="黑体" w:hAnsi="黑体" w:eastAsia="黑体" w:cs="黑体"/>
        </w:rPr>
        <w:fldChar w:fldCharType="end"/>
      </w:r>
      <w:r>
        <w:rPr>
          <w:rFonts w:hint="eastAsia" w:ascii="黑体" w:hAnsi="黑体" w:eastAsia="黑体" w:cs="黑体"/>
        </w:rPr>
        <w:fldChar w:fldCharType="end"/>
      </w:r>
    </w:p>
    <w:p>
      <w:pPr>
        <w:pStyle w:val="10"/>
        <w:tabs>
          <w:tab w:val="right" w:leader="dot" w:pos="8306"/>
          <w:tab w:val="clear" w:pos="8296"/>
        </w:tabs>
        <w:rPr>
          <w:rFonts w:ascii="黑体" w:hAnsi="黑体" w:eastAsia="黑体" w:cs="黑体"/>
        </w:rPr>
      </w:pPr>
      <w:r>
        <w:fldChar w:fldCharType="begin"/>
      </w:r>
      <w:r>
        <w:instrText xml:space="preserve"> HYPERLINK \l "_Toc2881" </w:instrText>
      </w:r>
      <w:r>
        <w:fldChar w:fldCharType="separate"/>
      </w:r>
      <w:r>
        <w:rPr>
          <w:rFonts w:hint="eastAsia" w:ascii="黑体" w:hAnsi="黑体" w:eastAsia="黑体" w:cs="黑体"/>
        </w:rPr>
        <w:t>五、一</w:t>
      </w:r>
      <w:r>
        <w:rPr>
          <w:rFonts w:hint="eastAsia" w:ascii="黑体" w:hAnsi="黑体" w:eastAsia="黑体" w:cs="黑体"/>
          <w:bCs/>
        </w:rPr>
        <w:t>般公共预算财政拨款支出决算情况说明</w:t>
      </w:r>
      <w:r>
        <w:rPr>
          <w:rFonts w:hint="eastAsia" w:ascii="黑体" w:hAnsi="黑体" w:eastAsia="黑体" w:cs="黑体"/>
        </w:rPr>
        <w:tab/>
      </w:r>
      <w:r>
        <w:rPr>
          <w:rFonts w:hint="eastAsia" w:ascii="黑体" w:hAnsi="黑体" w:eastAsia="黑体" w:cs="黑体"/>
        </w:rPr>
        <w:fldChar w:fldCharType="begin"/>
      </w:r>
      <w:r>
        <w:rPr>
          <w:rFonts w:hint="eastAsia" w:ascii="黑体" w:hAnsi="黑体" w:eastAsia="黑体" w:cs="黑体"/>
        </w:rPr>
        <w:instrText xml:space="preserve"> PAGEREF _Toc2881 \h </w:instrText>
      </w:r>
      <w:r>
        <w:rPr>
          <w:rFonts w:hint="eastAsia" w:ascii="黑体" w:hAnsi="黑体" w:eastAsia="黑体" w:cs="黑体"/>
        </w:rPr>
        <w:fldChar w:fldCharType="separate"/>
      </w:r>
      <w:r>
        <w:rPr>
          <w:rFonts w:hint="eastAsia" w:ascii="黑体" w:hAnsi="黑体" w:eastAsia="黑体" w:cs="黑体"/>
        </w:rPr>
        <w:t>3</w:t>
      </w:r>
      <w:r>
        <w:rPr>
          <w:rFonts w:hint="eastAsia" w:ascii="黑体" w:hAnsi="黑体" w:eastAsia="黑体" w:cs="黑体"/>
        </w:rPr>
        <w:fldChar w:fldCharType="end"/>
      </w:r>
      <w:r>
        <w:rPr>
          <w:rFonts w:hint="eastAsia" w:ascii="黑体" w:hAnsi="黑体" w:eastAsia="黑体" w:cs="黑体"/>
        </w:rPr>
        <w:fldChar w:fldCharType="end"/>
      </w:r>
    </w:p>
    <w:p>
      <w:pPr>
        <w:pStyle w:val="10"/>
        <w:tabs>
          <w:tab w:val="right" w:leader="dot" w:pos="8306"/>
          <w:tab w:val="clear" w:pos="8296"/>
        </w:tabs>
        <w:rPr>
          <w:rFonts w:ascii="黑体" w:hAnsi="黑体" w:eastAsia="黑体" w:cs="黑体"/>
        </w:rPr>
      </w:pPr>
      <w:r>
        <w:fldChar w:fldCharType="begin"/>
      </w:r>
      <w:r>
        <w:instrText xml:space="preserve"> HYPERLINK \l "_Toc31464" </w:instrText>
      </w:r>
      <w:r>
        <w:fldChar w:fldCharType="separate"/>
      </w:r>
      <w:r>
        <w:rPr>
          <w:rFonts w:hint="eastAsia" w:ascii="黑体" w:hAnsi="黑体" w:eastAsia="黑体" w:cs="黑体"/>
        </w:rPr>
        <w:t>六、一般公共预算财政拨款基本支出决算情况说明</w:t>
      </w:r>
      <w:r>
        <w:rPr>
          <w:rFonts w:hint="eastAsia" w:ascii="黑体" w:hAnsi="黑体" w:eastAsia="黑体" w:cs="黑体"/>
        </w:rPr>
        <w:tab/>
      </w:r>
      <w:r>
        <w:rPr>
          <w:rFonts w:hint="eastAsia" w:ascii="黑体" w:hAnsi="黑体" w:eastAsia="黑体" w:cs="黑体"/>
        </w:rPr>
        <w:fldChar w:fldCharType="begin"/>
      </w:r>
      <w:r>
        <w:rPr>
          <w:rFonts w:hint="eastAsia" w:ascii="黑体" w:hAnsi="黑体" w:eastAsia="黑体" w:cs="黑体"/>
        </w:rPr>
        <w:instrText xml:space="preserve"> PAGEREF _Toc31464 \h </w:instrText>
      </w:r>
      <w:r>
        <w:rPr>
          <w:rFonts w:hint="eastAsia" w:ascii="黑体" w:hAnsi="黑体" w:eastAsia="黑体" w:cs="黑体"/>
        </w:rPr>
        <w:fldChar w:fldCharType="separate"/>
      </w:r>
      <w:r>
        <w:rPr>
          <w:rFonts w:hint="eastAsia" w:ascii="黑体" w:hAnsi="黑体" w:eastAsia="黑体" w:cs="黑体"/>
        </w:rPr>
        <w:t>5</w:t>
      </w:r>
      <w:r>
        <w:rPr>
          <w:rFonts w:hint="eastAsia" w:ascii="黑体" w:hAnsi="黑体" w:eastAsia="黑体" w:cs="黑体"/>
        </w:rPr>
        <w:fldChar w:fldCharType="end"/>
      </w:r>
      <w:r>
        <w:rPr>
          <w:rFonts w:hint="eastAsia" w:ascii="黑体" w:hAnsi="黑体" w:eastAsia="黑体" w:cs="黑体"/>
        </w:rPr>
        <w:fldChar w:fldCharType="end"/>
      </w:r>
    </w:p>
    <w:p>
      <w:pPr>
        <w:pStyle w:val="10"/>
        <w:tabs>
          <w:tab w:val="right" w:leader="dot" w:pos="8306"/>
          <w:tab w:val="clear" w:pos="8296"/>
        </w:tabs>
        <w:rPr>
          <w:rFonts w:ascii="黑体" w:hAnsi="黑体" w:eastAsia="黑体" w:cs="黑体"/>
        </w:rPr>
      </w:pPr>
      <w:r>
        <w:fldChar w:fldCharType="begin"/>
      </w:r>
      <w:r>
        <w:instrText xml:space="preserve"> HYPERLINK \l "_Toc28752" </w:instrText>
      </w:r>
      <w:r>
        <w:fldChar w:fldCharType="separate"/>
      </w:r>
      <w:r>
        <w:rPr>
          <w:rFonts w:hint="eastAsia" w:ascii="黑体" w:hAnsi="黑体" w:eastAsia="黑体" w:cs="黑体"/>
        </w:rPr>
        <w:t>七、“三公”经费财政拨款支出决算情况说明</w:t>
      </w:r>
      <w:r>
        <w:rPr>
          <w:rFonts w:hint="eastAsia" w:ascii="黑体" w:hAnsi="黑体" w:eastAsia="黑体" w:cs="黑体"/>
        </w:rPr>
        <w:tab/>
      </w:r>
      <w:r>
        <w:rPr>
          <w:rFonts w:hint="eastAsia" w:ascii="黑体" w:hAnsi="黑体" w:eastAsia="黑体" w:cs="黑体"/>
        </w:rPr>
        <w:fldChar w:fldCharType="begin"/>
      </w:r>
      <w:r>
        <w:rPr>
          <w:rFonts w:hint="eastAsia" w:ascii="黑体" w:hAnsi="黑体" w:eastAsia="黑体" w:cs="黑体"/>
        </w:rPr>
        <w:instrText xml:space="preserve"> PAGEREF _Toc28752 \h </w:instrText>
      </w:r>
      <w:r>
        <w:rPr>
          <w:rFonts w:hint="eastAsia" w:ascii="黑体" w:hAnsi="黑体" w:eastAsia="黑体" w:cs="黑体"/>
        </w:rPr>
        <w:fldChar w:fldCharType="separate"/>
      </w:r>
      <w:r>
        <w:rPr>
          <w:rFonts w:hint="eastAsia" w:ascii="黑体" w:hAnsi="黑体" w:eastAsia="黑体" w:cs="黑体"/>
        </w:rPr>
        <w:t>5</w:t>
      </w:r>
      <w:r>
        <w:rPr>
          <w:rFonts w:hint="eastAsia" w:ascii="黑体" w:hAnsi="黑体" w:eastAsia="黑体" w:cs="黑体"/>
        </w:rPr>
        <w:fldChar w:fldCharType="end"/>
      </w:r>
      <w:r>
        <w:rPr>
          <w:rFonts w:hint="eastAsia" w:ascii="黑体" w:hAnsi="黑体" w:eastAsia="黑体" w:cs="黑体"/>
        </w:rPr>
        <w:fldChar w:fldCharType="end"/>
      </w:r>
    </w:p>
    <w:p>
      <w:pPr>
        <w:pStyle w:val="10"/>
        <w:tabs>
          <w:tab w:val="right" w:leader="dot" w:pos="8306"/>
          <w:tab w:val="clear" w:pos="8296"/>
        </w:tabs>
        <w:rPr>
          <w:rFonts w:ascii="黑体" w:hAnsi="黑体" w:eastAsia="黑体" w:cs="黑体"/>
        </w:rPr>
      </w:pPr>
      <w:r>
        <w:fldChar w:fldCharType="begin"/>
      </w:r>
      <w:r>
        <w:instrText xml:space="preserve"> HYPERLINK \l "_Toc19762" </w:instrText>
      </w:r>
      <w:r>
        <w:fldChar w:fldCharType="separate"/>
      </w:r>
      <w:r>
        <w:rPr>
          <w:rFonts w:hint="eastAsia" w:ascii="黑体" w:hAnsi="黑体" w:eastAsia="黑体" w:cs="黑体"/>
        </w:rPr>
        <w:t>八、政府性基金预算支出决算情况说明</w:t>
      </w:r>
      <w:r>
        <w:rPr>
          <w:rFonts w:hint="eastAsia" w:ascii="黑体" w:hAnsi="黑体" w:eastAsia="黑体" w:cs="黑体"/>
        </w:rPr>
        <w:tab/>
      </w:r>
      <w:r>
        <w:rPr>
          <w:rFonts w:hint="eastAsia" w:ascii="黑体" w:hAnsi="黑体" w:eastAsia="黑体" w:cs="黑体"/>
        </w:rPr>
        <w:fldChar w:fldCharType="begin"/>
      </w:r>
      <w:r>
        <w:rPr>
          <w:rFonts w:hint="eastAsia" w:ascii="黑体" w:hAnsi="黑体" w:eastAsia="黑体" w:cs="黑体"/>
        </w:rPr>
        <w:instrText xml:space="preserve"> PAGEREF _Toc19762 \h </w:instrText>
      </w:r>
      <w:r>
        <w:rPr>
          <w:rFonts w:hint="eastAsia" w:ascii="黑体" w:hAnsi="黑体" w:eastAsia="黑体" w:cs="黑体"/>
        </w:rPr>
        <w:fldChar w:fldCharType="separate"/>
      </w:r>
      <w:r>
        <w:rPr>
          <w:rFonts w:hint="eastAsia" w:ascii="黑体" w:hAnsi="黑体" w:eastAsia="黑体" w:cs="黑体"/>
        </w:rPr>
        <w:t>6</w:t>
      </w:r>
      <w:r>
        <w:rPr>
          <w:rFonts w:hint="eastAsia" w:ascii="黑体" w:hAnsi="黑体" w:eastAsia="黑体" w:cs="黑体"/>
        </w:rPr>
        <w:fldChar w:fldCharType="end"/>
      </w:r>
      <w:r>
        <w:rPr>
          <w:rFonts w:hint="eastAsia" w:ascii="黑体" w:hAnsi="黑体" w:eastAsia="黑体" w:cs="黑体"/>
        </w:rPr>
        <w:fldChar w:fldCharType="end"/>
      </w:r>
    </w:p>
    <w:p>
      <w:pPr>
        <w:pStyle w:val="10"/>
        <w:tabs>
          <w:tab w:val="right" w:leader="dot" w:pos="8306"/>
          <w:tab w:val="clear" w:pos="8296"/>
        </w:tabs>
        <w:rPr>
          <w:rFonts w:ascii="黑体" w:hAnsi="黑体" w:eastAsia="黑体" w:cs="黑体"/>
        </w:rPr>
      </w:pPr>
      <w:r>
        <w:fldChar w:fldCharType="begin"/>
      </w:r>
      <w:r>
        <w:instrText xml:space="preserve"> HYPERLINK \l "_Toc8367" </w:instrText>
      </w:r>
      <w:r>
        <w:fldChar w:fldCharType="separate"/>
      </w:r>
      <w:r>
        <w:rPr>
          <w:rFonts w:hint="eastAsia" w:ascii="黑体" w:hAnsi="黑体" w:eastAsia="黑体" w:cs="黑体"/>
        </w:rPr>
        <w:t>九、国有资本经营预算支出决算情况说明</w:t>
      </w:r>
      <w:r>
        <w:rPr>
          <w:rFonts w:hint="eastAsia" w:ascii="黑体" w:hAnsi="黑体" w:eastAsia="黑体" w:cs="黑体"/>
        </w:rPr>
        <w:tab/>
      </w:r>
      <w:r>
        <w:rPr>
          <w:rFonts w:hint="eastAsia" w:ascii="黑体" w:hAnsi="黑体" w:eastAsia="黑体" w:cs="黑体"/>
        </w:rPr>
        <w:fldChar w:fldCharType="begin"/>
      </w:r>
      <w:r>
        <w:rPr>
          <w:rFonts w:hint="eastAsia" w:ascii="黑体" w:hAnsi="黑体" w:eastAsia="黑体" w:cs="黑体"/>
        </w:rPr>
        <w:instrText xml:space="preserve"> PAGEREF _Toc8367 \h </w:instrText>
      </w:r>
      <w:r>
        <w:rPr>
          <w:rFonts w:hint="eastAsia" w:ascii="黑体" w:hAnsi="黑体" w:eastAsia="黑体" w:cs="黑体"/>
        </w:rPr>
        <w:fldChar w:fldCharType="separate"/>
      </w:r>
      <w:r>
        <w:rPr>
          <w:rFonts w:hint="eastAsia" w:ascii="黑体" w:hAnsi="黑体" w:eastAsia="黑体" w:cs="黑体"/>
        </w:rPr>
        <w:t>6</w:t>
      </w:r>
      <w:r>
        <w:rPr>
          <w:rFonts w:hint="eastAsia" w:ascii="黑体" w:hAnsi="黑体" w:eastAsia="黑体" w:cs="黑体"/>
        </w:rPr>
        <w:fldChar w:fldCharType="end"/>
      </w:r>
      <w:r>
        <w:rPr>
          <w:rFonts w:hint="eastAsia" w:ascii="黑体" w:hAnsi="黑体" w:eastAsia="黑体" w:cs="黑体"/>
        </w:rPr>
        <w:fldChar w:fldCharType="end"/>
      </w:r>
    </w:p>
    <w:p>
      <w:pPr>
        <w:pStyle w:val="10"/>
        <w:tabs>
          <w:tab w:val="right" w:leader="dot" w:pos="8306"/>
          <w:tab w:val="clear" w:pos="8296"/>
        </w:tabs>
        <w:rPr>
          <w:rFonts w:ascii="黑体" w:hAnsi="黑体" w:eastAsia="黑体" w:cs="黑体"/>
        </w:rPr>
      </w:pPr>
      <w:r>
        <w:fldChar w:fldCharType="begin"/>
      </w:r>
      <w:r>
        <w:instrText xml:space="preserve"> HYPERLINK \l "_Toc17278" </w:instrText>
      </w:r>
      <w:r>
        <w:fldChar w:fldCharType="separate"/>
      </w:r>
      <w:r>
        <w:rPr>
          <w:rFonts w:hint="eastAsia" w:ascii="黑体" w:hAnsi="黑体" w:eastAsia="黑体" w:cs="黑体"/>
        </w:rPr>
        <w:t>十、其他重要事项的情况说明</w:t>
      </w:r>
      <w:r>
        <w:rPr>
          <w:rFonts w:hint="eastAsia" w:ascii="黑体" w:hAnsi="黑体" w:eastAsia="黑体" w:cs="黑体"/>
        </w:rPr>
        <w:tab/>
      </w:r>
      <w:r>
        <w:rPr>
          <w:rFonts w:hint="eastAsia" w:ascii="黑体" w:hAnsi="黑体" w:eastAsia="黑体" w:cs="黑体"/>
        </w:rPr>
        <w:fldChar w:fldCharType="begin"/>
      </w:r>
      <w:r>
        <w:rPr>
          <w:rFonts w:hint="eastAsia" w:ascii="黑体" w:hAnsi="黑体" w:eastAsia="黑体" w:cs="黑体"/>
        </w:rPr>
        <w:instrText xml:space="preserve"> PAGEREF _Toc17278 \h </w:instrText>
      </w:r>
      <w:r>
        <w:rPr>
          <w:rFonts w:hint="eastAsia" w:ascii="黑体" w:hAnsi="黑体" w:eastAsia="黑体" w:cs="黑体"/>
        </w:rPr>
        <w:fldChar w:fldCharType="separate"/>
      </w:r>
      <w:r>
        <w:rPr>
          <w:rFonts w:hint="eastAsia" w:ascii="黑体" w:hAnsi="黑体" w:eastAsia="黑体" w:cs="黑体"/>
        </w:rPr>
        <w:t>6</w:t>
      </w:r>
      <w:r>
        <w:rPr>
          <w:rFonts w:hint="eastAsia" w:ascii="黑体" w:hAnsi="黑体" w:eastAsia="黑体" w:cs="黑体"/>
        </w:rPr>
        <w:fldChar w:fldCharType="end"/>
      </w:r>
      <w:r>
        <w:rPr>
          <w:rFonts w:hint="eastAsia" w:ascii="黑体" w:hAnsi="黑体" w:eastAsia="黑体" w:cs="黑体"/>
        </w:rPr>
        <w:fldChar w:fldCharType="end"/>
      </w:r>
    </w:p>
    <w:p>
      <w:pPr>
        <w:pStyle w:val="9"/>
        <w:tabs>
          <w:tab w:val="right" w:leader="dot" w:pos="8306"/>
          <w:tab w:val="clear" w:pos="8296"/>
        </w:tabs>
        <w:rPr>
          <w:rFonts w:ascii="黑体" w:hAnsi="黑体" w:eastAsia="黑体" w:cs="黑体"/>
        </w:rPr>
      </w:pPr>
      <w:r>
        <w:fldChar w:fldCharType="begin"/>
      </w:r>
      <w:r>
        <w:instrText xml:space="preserve"> HYPERLINK \l "_Toc12334" </w:instrText>
      </w:r>
      <w:r>
        <w:fldChar w:fldCharType="separate"/>
      </w:r>
      <w:r>
        <w:rPr>
          <w:rFonts w:hint="eastAsia" w:ascii="黑体" w:hAnsi="黑体" w:eastAsia="黑体" w:cs="黑体"/>
        </w:rPr>
        <w:t>第三部分 名词解释</w:t>
      </w:r>
      <w:r>
        <w:rPr>
          <w:rFonts w:hint="eastAsia" w:ascii="黑体" w:hAnsi="黑体" w:eastAsia="黑体" w:cs="黑体"/>
        </w:rPr>
        <w:tab/>
      </w:r>
      <w:r>
        <w:rPr>
          <w:rFonts w:hint="eastAsia" w:ascii="黑体" w:hAnsi="黑体" w:eastAsia="黑体" w:cs="黑体"/>
        </w:rPr>
        <w:fldChar w:fldCharType="begin"/>
      </w:r>
      <w:r>
        <w:rPr>
          <w:rFonts w:hint="eastAsia" w:ascii="黑体" w:hAnsi="黑体" w:eastAsia="黑体" w:cs="黑体"/>
        </w:rPr>
        <w:instrText xml:space="preserve"> PAGEREF _Toc12334 \h </w:instrText>
      </w:r>
      <w:r>
        <w:rPr>
          <w:rFonts w:hint="eastAsia" w:ascii="黑体" w:hAnsi="黑体" w:eastAsia="黑体" w:cs="黑体"/>
        </w:rPr>
        <w:fldChar w:fldCharType="separate"/>
      </w:r>
      <w:r>
        <w:rPr>
          <w:rFonts w:hint="eastAsia" w:ascii="黑体" w:hAnsi="黑体" w:eastAsia="黑体" w:cs="黑体"/>
        </w:rPr>
        <w:t>10</w:t>
      </w:r>
      <w:r>
        <w:rPr>
          <w:rFonts w:hint="eastAsia" w:ascii="黑体" w:hAnsi="黑体" w:eastAsia="黑体" w:cs="黑体"/>
        </w:rPr>
        <w:fldChar w:fldCharType="end"/>
      </w:r>
      <w:r>
        <w:rPr>
          <w:rFonts w:hint="eastAsia" w:ascii="黑体" w:hAnsi="黑体" w:eastAsia="黑体" w:cs="黑体"/>
        </w:rPr>
        <w:fldChar w:fldCharType="end"/>
      </w:r>
    </w:p>
    <w:p>
      <w:pPr>
        <w:pStyle w:val="9"/>
        <w:tabs>
          <w:tab w:val="right" w:leader="dot" w:pos="8306"/>
          <w:tab w:val="clear" w:pos="8296"/>
        </w:tabs>
        <w:rPr>
          <w:rFonts w:ascii="黑体" w:hAnsi="黑体" w:eastAsia="黑体" w:cs="黑体"/>
        </w:rPr>
      </w:pPr>
      <w:r>
        <w:fldChar w:fldCharType="begin"/>
      </w:r>
      <w:r>
        <w:instrText xml:space="preserve"> HYPERLINK \l "_Toc9207" </w:instrText>
      </w:r>
      <w:r>
        <w:fldChar w:fldCharType="separate"/>
      </w:r>
      <w:r>
        <w:rPr>
          <w:rFonts w:hint="eastAsia" w:ascii="黑体" w:hAnsi="黑体" w:eastAsia="黑体" w:cs="黑体"/>
        </w:rPr>
        <w:t>第四部分 附件</w:t>
      </w:r>
      <w:r>
        <w:rPr>
          <w:rFonts w:hint="eastAsia" w:ascii="黑体" w:hAnsi="黑体" w:eastAsia="黑体" w:cs="黑体"/>
        </w:rPr>
        <w:tab/>
      </w:r>
      <w:r>
        <w:rPr>
          <w:rFonts w:hint="eastAsia" w:ascii="黑体" w:hAnsi="黑体" w:eastAsia="黑体" w:cs="黑体"/>
        </w:rPr>
        <w:fldChar w:fldCharType="begin"/>
      </w:r>
      <w:r>
        <w:rPr>
          <w:rFonts w:hint="eastAsia" w:ascii="黑体" w:hAnsi="黑体" w:eastAsia="黑体" w:cs="黑体"/>
        </w:rPr>
        <w:instrText xml:space="preserve"> PAGEREF _Toc9207 \h </w:instrText>
      </w:r>
      <w:r>
        <w:rPr>
          <w:rFonts w:hint="eastAsia" w:ascii="黑体" w:hAnsi="黑体" w:eastAsia="黑体" w:cs="黑体"/>
        </w:rPr>
        <w:fldChar w:fldCharType="separate"/>
      </w:r>
      <w:r>
        <w:rPr>
          <w:rFonts w:hint="eastAsia" w:ascii="黑体" w:hAnsi="黑体" w:eastAsia="黑体" w:cs="黑体"/>
        </w:rPr>
        <w:t>12</w:t>
      </w:r>
      <w:r>
        <w:rPr>
          <w:rFonts w:hint="eastAsia" w:ascii="黑体" w:hAnsi="黑体" w:eastAsia="黑体" w:cs="黑体"/>
        </w:rPr>
        <w:fldChar w:fldCharType="end"/>
      </w:r>
      <w:r>
        <w:rPr>
          <w:rFonts w:hint="eastAsia" w:ascii="黑体" w:hAnsi="黑体" w:eastAsia="黑体" w:cs="黑体"/>
        </w:rPr>
        <w:fldChar w:fldCharType="end"/>
      </w:r>
    </w:p>
    <w:p>
      <w:pPr>
        <w:pStyle w:val="9"/>
        <w:tabs>
          <w:tab w:val="right" w:leader="dot" w:pos="8306"/>
          <w:tab w:val="clear" w:pos="8296"/>
        </w:tabs>
        <w:rPr>
          <w:rFonts w:ascii="黑体" w:hAnsi="黑体" w:eastAsia="黑体" w:cs="黑体"/>
        </w:rPr>
      </w:pPr>
      <w:r>
        <w:fldChar w:fldCharType="begin"/>
      </w:r>
      <w:r>
        <w:instrText xml:space="preserve"> HYPERLINK \l "_Toc12158" </w:instrText>
      </w:r>
      <w:r>
        <w:fldChar w:fldCharType="separate"/>
      </w:r>
      <w:r>
        <w:rPr>
          <w:rFonts w:hint="eastAsia" w:ascii="黑体" w:hAnsi="黑体" w:eastAsia="黑体" w:cs="黑体"/>
        </w:rPr>
        <w:t>第五部分 附表</w:t>
      </w:r>
      <w:r>
        <w:rPr>
          <w:rFonts w:hint="eastAsia" w:ascii="黑体" w:hAnsi="黑体" w:eastAsia="黑体" w:cs="黑体"/>
        </w:rPr>
        <w:tab/>
      </w:r>
      <w:r>
        <w:rPr>
          <w:rFonts w:hint="eastAsia" w:ascii="黑体" w:hAnsi="黑体" w:eastAsia="黑体" w:cs="黑体"/>
        </w:rPr>
        <w:fldChar w:fldCharType="begin"/>
      </w:r>
      <w:r>
        <w:rPr>
          <w:rFonts w:hint="eastAsia" w:ascii="黑体" w:hAnsi="黑体" w:eastAsia="黑体" w:cs="黑体"/>
        </w:rPr>
        <w:instrText xml:space="preserve"> PAGEREF _Toc12158 \h </w:instrText>
      </w:r>
      <w:r>
        <w:rPr>
          <w:rFonts w:hint="eastAsia" w:ascii="黑体" w:hAnsi="黑体" w:eastAsia="黑体" w:cs="黑体"/>
        </w:rPr>
        <w:fldChar w:fldCharType="separate"/>
      </w:r>
      <w:r>
        <w:rPr>
          <w:rFonts w:hint="eastAsia" w:ascii="黑体" w:hAnsi="黑体" w:eastAsia="黑体" w:cs="黑体"/>
        </w:rPr>
        <w:t>15</w:t>
      </w:r>
      <w:r>
        <w:rPr>
          <w:rFonts w:hint="eastAsia" w:ascii="黑体" w:hAnsi="黑体" w:eastAsia="黑体" w:cs="黑体"/>
        </w:rPr>
        <w:fldChar w:fldCharType="end"/>
      </w:r>
      <w:r>
        <w:rPr>
          <w:rFonts w:hint="eastAsia" w:ascii="黑体" w:hAnsi="黑体" w:eastAsia="黑体" w:cs="黑体"/>
        </w:rPr>
        <w:fldChar w:fldCharType="end"/>
      </w:r>
    </w:p>
    <w:p>
      <w:pPr>
        <w:pStyle w:val="10"/>
        <w:tabs>
          <w:tab w:val="right" w:leader="dot" w:pos="8306"/>
          <w:tab w:val="clear" w:pos="8296"/>
        </w:tabs>
        <w:rPr>
          <w:rFonts w:ascii="黑体" w:hAnsi="黑体" w:eastAsia="黑体" w:cs="黑体"/>
        </w:rPr>
      </w:pPr>
      <w:r>
        <w:fldChar w:fldCharType="begin"/>
      </w:r>
      <w:r>
        <w:instrText xml:space="preserve"> HYPERLINK \l "_Toc23285" </w:instrText>
      </w:r>
      <w:r>
        <w:fldChar w:fldCharType="separate"/>
      </w:r>
      <w:r>
        <w:rPr>
          <w:rFonts w:hint="eastAsia" w:ascii="黑体" w:hAnsi="黑体" w:eastAsia="黑体" w:cs="黑体"/>
        </w:rPr>
        <w:t>一、收入支出决算总表</w:t>
      </w:r>
      <w:r>
        <w:rPr>
          <w:rFonts w:hint="eastAsia" w:ascii="黑体" w:hAnsi="黑体" w:eastAsia="黑体" w:cs="黑体"/>
        </w:rPr>
        <w:tab/>
      </w:r>
      <w:r>
        <w:rPr>
          <w:rFonts w:hint="eastAsia" w:ascii="黑体" w:hAnsi="黑体" w:eastAsia="黑体" w:cs="黑体"/>
        </w:rPr>
        <w:t>1</w:t>
      </w:r>
      <w:r>
        <w:rPr>
          <w:rFonts w:hint="eastAsia" w:ascii="黑体" w:hAnsi="黑体" w:eastAsia="黑体" w:cs="黑体"/>
        </w:rPr>
        <w:fldChar w:fldCharType="end"/>
      </w:r>
      <w:r>
        <w:rPr>
          <w:rFonts w:hint="eastAsia" w:ascii="黑体" w:hAnsi="黑体" w:eastAsia="黑体" w:cs="黑体"/>
          <w:bCs/>
        </w:rPr>
        <w:t>6</w:t>
      </w:r>
    </w:p>
    <w:p>
      <w:pPr>
        <w:pStyle w:val="10"/>
        <w:tabs>
          <w:tab w:val="right" w:leader="dot" w:pos="8306"/>
          <w:tab w:val="clear" w:pos="8296"/>
        </w:tabs>
        <w:rPr>
          <w:rFonts w:ascii="黑体" w:hAnsi="黑体" w:eastAsia="黑体" w:cs="黑体"/>
        </w:rPr>
      </w:pPr>
      <w:r>
        <w:fldChar w:fldCharType="begin"/>
      </w:r>
      <w:r>
        <w:instrText xml:space="preserve"> HYPERLINK \l "_Toc9816" </w:instrText>
      </w:r>
      <w:r>
        <w:fldChar w:fldCharType="separate"/>
      </w:r>
      <w:r>
        <w:rPr>
          <w:rFonts w:hint="eastAsia" w:ascii="黑体" w:hAnsi="黑体" w:eastAsia="黑体" w:cs="黑体"/>
        </w:rPr>
        <w:t>二、收入决算表</w:t>
      </w:r>
      <w:r>
        <w:rPr>
          <w:rFonts w:hint="eastAsia" w:ascii="黑体" w:hAnsi="黑体" w:eastAsia="黑体" w:cs="黑体"/>
        </w:rPr>
        <w:tab/>
      </w:r>
      <w:r>
        <w:rPr>
          <w:rFonts w:hint="eastAsia" w:ascii="黑体" w:hAnsi="黑体" w:eastAsia="黑体" w:cs="黑体"/>
        </w:rPr>
        <w:t>1</w:t>
      </w:r>
      <w:r>
        <w:rPr>
          <w:rFonts w:hint="eastAsia" w:ascii="黑体" w:hAnsi="黑体" w:eastAsia="黑体" w:cs="黑体"/>
        </w:rPr>
        <w:fldChar w:fldCharType="end"/>
      </w:r>
      <w:r>
        <w:rPr>
          <w:rFonts w:hint="eastAsia" w:ascii="黑体" w:hAnsi="黑体" w:eastAsia="黑体" w:cs="黑体"/>
          <w:bCs/>
        </w:rPr>
        <w:t>7</w:t>
      </w:r>
    </w:p>
    <w:p>
      <w:pPr>
        <w:pStyle w:val="10"/>
        <w:tabs>
          <w:tab w:val="right" w:leader="dot" w:pos="8306"/>
          <w:tab w:val="clear" w:pos="8296"/>
        </w:tabs>
        <w:rPr>
          <w:rFonts w:ascii="黑体" w:hAnsi="黑体" w:eastAsia="黑体" w:cs="黑体"/>
        </w:rPr>
      </w:pPr>
      <w:r>
        <w:fldChar w:fldCharType="begin"/>
      </w:r>
      <w:r>
        <w:instrText xml:space="preserve"> HYPERLINK \l "_Toc29448" </w:instrText>
      </w:r>
      <w:r>
        <w:fldChar w:fldCharType="separate"/>
      </w:r>
      <w:r>
        <w:rPr>
          <w:rFonts w:hint="eastAsia" w:ascii="黑体" w:hAnsi="黑体" w:eastAsia="黑体" w:cs="黑体"/>
        </w:rPr>
        <w:t>三、支出决算表</w:t>
      </w:r>
      <w:r>
        <w:rPr>
          <w:rFonts w:hint="eastAsia" w:ascii="黑体" w:hAnsi="黑体" w:eastAsia="黑体" w:cs="黑体"/>
        </w:rPr>
        <w:tab/>
      </w:r>
      <w:r>
        <w:rPr>
          <w:rFonts w:hint="eastAsia" w:ascii="黑体" w:hAnsi="黑体" w:eastAsia="黑体" w:cs="黑体"/>
        </w:rPr>
        <w:t>1</w:t>
      </w:r>
      <w:r>
        <w:rPr>
          <w:rFonts w:hint="eastAsia" w:ascii="黑体" w:hAnsi="黑体" w:eastAsia="黑体" w:cs="黑体"/>
        </w:rPr>
        <w:fldChar w:fldCharType="end"/>
      </w:r>
      <w:r>
        <w:rPr>
          <w:rFonts w:hint="eastAsia" w:ascii="黑体" w:hAnsi="黑体" w:eastAsia="黑体" w:cs="黑体"/>
          <w:bCs/>
        </w:rPr>
        <w:t>8</w:t>
      </w:r>
    </w:p>
    <w:p>
      <w:pPr>
        <w:pStyle w:val="10"/>
        <w:tabs>
          <w:tab w:val="right" w:leader="dot" w:pos="8306"/>
          <w:tab w:val="clear" w:pos="8296"/>
        </w:tabs>
        <w:rPr>
          <w:rFonts w:ascii="黑体" w:hAnsi="黑体" w:eastAsia="黑体" w:cs="黑体"/>
        </w:rPr>
      </w:pPr>
      <w:r>
        <w:fldChar w:fldCharType="begin"/>
      </w:r>
      <w:r>
        <w:instrText xml:space="preserve"> HYPERLINK \l "_Toc30689" </w:instrText>
      </w:r>
      <w:r>
        <w:fldChar w:fldCharType="separate"/>
      </w:r>
      <w:r>
        <w:rPr>
          <w:rFonts w:hint="eastAsia" w:ascii="黑体" w:hAnsi="黑体" w:eastAsia="黑体" w:cs="黑体"/>
        </w:rPr>
        <w:t>四、财政拨款收入支出决算总表</w:t>
      </w:r>
      <w:r>
        <w:rPr>
          <w:rFonts w:hint="eastAsia" w:ascii="黑体" w:hAnsi="黑体" w:eastAsia="黑体" w:cs="黑体"/>
        </w:rPr>
        <w:tab/>
      </w:r>
      <w:r>
        <w:rPr>
          <w:rFonts w:hint="eastAsia" w:ascii="黑体" w:hAnsi="黑体" w:eastAsia="黑体" w:cs="黑体"/>
        </w:rPr>
        <w:t>1</w:t>
      </w:r>
      <w:r>
        <w:rPr>
          <w:rFonts w:hint="eastAsia" w:ascii="黑体" w:hAnsi="黑体" w:eastAsia="黑体" w:cs="黑体"/>
        </w:rPr>
        <w:fldChar w:fldCharType="end"/>
      </w:r>
      <w:r>
        <w:rPr>
          <w:rFonts w:hint="eastAsia" w:ascii="黑体" w:hAnsi="黑体" w:eastAsia="黑体" w:cs="黑体"/>
          <w:bCs/>
        </w:rPr>
        <w:t>9</w:t>
      </w:r>
    </w:p>
    <w:p>
      <w:pPr>
        <w:pStyle w:val="10"/>
        <w:tabs>
          <w:tab w:val="right" w:leader="dot" w:pos="8306"/>
          <w:tab w:val="clear" w:pos="8296"/>
        </w:tabs>
        <w:rPr>
          <w:rFonts w:ascii="黑体" w:hAnsi="黑体" w:eastAsia="黑体" w:cs="黑体"/>
        </w:rPr>
      </w:pPr>
      <w:r>
        <w:fldChar w:fldCharType="begin"/>
      </w:r>
      <w:r>
        <w:instrText xml:space="preserve"> HYPERLINK \l "_Toc582" </w:instrText>
      </w:r>
      <w:r>
        <w:fldChar w:fldCharType="separate"/>
      </w:r>
      <w:r>
        <w:rPr>
          <w:rFonts w:hint="eastAsia" w:ascii="黑体" w:hAnsi="黑体" w:eastAsia="黑体" w:cs="黑体"/>
        </w:rPr>
        <w:t>五、财政拨款支出决算明细表</w:t>
      </w:r>
      <w:r>
        <w:rPr>
          <w:rFonts w:hint="eastAsia" w:ascii="黑体" w:hAnsi="黑体" w:eastAsia="黑体" w:cs="黑体"/>
        </w:rPr>
        <w:tab/>
      </w:r>
      <w:r>
        <w:rPr>
          <w:rFonts w:hint="eastAsia" w:ascii="黑体" w:hAnsi="黑体" w:eastAsia="黑体" w:cs="黑体"/>
        </w:rPr>
        <w:t>2</w:t>
      </w:r>
      <w:r>
        <w:rPr>
          <w:rFonts w:hint="eastAsia" w:ascii="黑体" w:hAnsi="黑体" w:eastAsia="黑体" w:cs="黑体"/>
        </w:rPr>
        <w:fldChar w:fldCharType="end"/>
      </w:r>
      <w:r>
        <w:rPr>
          <w:rFonts w:hint="eastAsia" w:ascii="黑体" w:hAnsi="黑体" w:eastAsia="黑体" w:cs="黑体"/>
          <w:bCs/>
        </w:rPr>
        <w:t>0</w:t>
      </w:r>
    </w:p>
    <w:p>
      <w:pPr>
        <w:pStyle w:val="10"/>
        <w:tabs>
          <w:tab w:val="right" w:leader="dot" w:pos="8306"/>
          <w:tab w:val="clear" w:pos="8296"/>
        </w:tabs>
        <w:rPr>
          <w:rFonts w:ascii="黑体" w:hAnsi="黑体" w:eastAsia="黑体" w:cs="黑体"/>
        </w:rPr>
      </w:pPr>
      <w:r>
        <w:fldChar w:fldCharType="begin"/>
      </w:r>
      <w:r>
        <w:instrText xml:space="preserve"> HYPERLINK \l "_Toc19256" </w:instrText>
      </w:r>
      <w:r>
        <w:fldChar w:fldCharType="separate"/>
      </w:r>
      <w:r>
        <w:rPr>
          <w:rFonts w:hint="eastAsia" w:ascii="黑体" w:hAnsi="黑体" w:eastAsia="黑体" w:cs="黑体"/>
        </w:rPr>
        <w:t>六、一般公共预算财政拨款支出决算表</w:t>
      </w:r>
      <w:r>
        <w:rPr>
          <w:rFonts w:hint="eastAsia" w:ascii="黑体" w:hAnsi="黑体" w:eastAsia="黑体" w:cs="黑体"/>
        </w:rPr>
        <w:tab/>
      </w:r>
      <w:r>
        <w:rPr>
          <w:rFonts w:hint="eastAsia" w:ascii="黑体" w:hAnsi="黑体" w:eastAsia="黑体" w:cs="黑体"/>
        </w:rPr>
        <w:t>2</w:t>
      </w:r>
      <w:r>
        <w:rPr>
          <w:rFonts w:hint="eastAsia" w:ascii="黑体" w:hAnsi="黑体" w:eastAsia="黑体" w:cs="黑体"/>
        </w:rPr>
        <w:fldChar w:fldCharType="end"/>
      </w:r>
      <w:r>
        <w:rPr>
          <w:rFonts w:hint="eastAsia" w:ascii="黑体" w:hAnsi="黑体" w:eastAsia="黑体" w:cs="黑体"/>
          <w:bCs/>
        </w:rPr>
        <w:t>1</w:t>
      </w:r>
    </w:p>
    <w:p>
      <w:pPr>
        <w:pStyle w:val="10"/>
        <w:tabs>
          <w:tab w:val="right" w:leader="dot" w:pos="8306"/>
          <w:tab w:val="clear" w:pos="8296"/>
        </w:tabs>
        <w:rPr>
          <w:rFonts w:ascii="黑体" w:hAnsi="黑体" w:eastAsia="黑体" w:cs="黑体"/>
        </w:rPr>
      </w:pPr>
      <w:r>
        <w:fldChar w:fldCharType="begin"/>
      </w:r>
      <w:r>
        <w:instrText xml:space="preserve"> HYPERLINK \l "_Toc24369" </w:instrText>
      </w:r>
      <w:r>
        <w:fldChar w:fldCharType="separate"/>
      </w:r>
      <w:r>
        <w:rPr>
          <w:rFonts w:hint="eastAsia" w:ascii="黑体" w:hAnsi="黑体" w:eastAsia="黑体" w:cs="黑体"/>
        </w:rPr>
        <w:t>七、一般公共预算财政拨款支出决算明细表</w:t>
      </w:r>
      <w:r>
        <w:rPr>
          <w:rFonts w:hint="eastAsia" w:ascii="黑体" w:hAnsi="黑体" w:eastAsia="黑体" w:cs="黑体"/>
        </w:rPr>
        <w:tab/>
      </w:r>
      <w:r>
        <w:rPr>
          <w:rFonts w:hint="eastAsia" w:ascii="黑体" w:hAnsi="黑体" w:eastAsia="黑体" w:cs="黑体"/>
        </w:rPr>
        <w:t>2</w:t>
      </w:r>
      <w:r>
        <w:rPr>
          <w:rFonts w:hint="eastAsia" w:ascii="黑体" w:hAnsi="黑体" w:eastAsia="黑体" w:cs="黑体"/>
        </w:rPr>
        <w:fldChar w:fldCharType="end"/>
      </w:r>
      <w:r>
        <w:rPr>
          <w:rFonts w:hint="eastAsia" w:ascii="黑体" w:hAnsi="黑体" w:eastAsia="黑体" w:cs="黑体"/>
          <w:bCs/>
        </w:rPr>
        <w:t>2</w:t>
      </w:r>
    </w:p>
    <w:p>
      <w:pPr>
        <w:pStyle w:val="10"/>
        <w:tabs>
          <w:tab w:val="right" w:leader="dot" w:pos="8306"/>
          <w:tab w:val="clear" w:pos="8296"/>
        </w:tabs>
        <w:rPr>
          <w:rFonts w:ascii="黑体" w:hAnsi="黑体" w:eastAsia="黑体" w:cs="黑体"/>
        </w:rPr>
      </w:pPr>
      <w:r>
        <w:fldChar w:fldCharType="begin"/>
      </w:r>
      <w:r>
        <w:instrText xml:space="preserve"> HYPERLINK \l "_Toc8519" </w:instrText>
      </w:r>
      <w:r>
        <w:fldChar w:fldCharType="separate"/>
      </w:r>
      <w:r>
        <w:rPr>
          <w:rFonts w:hint="eastAsia" w:ascii="黑体" w:hAnsi="黑体" w:eastAsia="黑体" w:cs="黑体"/>
        </w:rPr>
        <w:t>八、一般公共预算财政拨款基本支出决算表</w:t>
      </w:r>
      <w:r>
        <w:rPr>
          <w:rFonts w:hint="eastAsia" w:ascii="黑体" w:hAnsi="黑体" w:eastAsia="黑体" w:cs="黑体"/>
        </w:rPr>
        <w:tab/>
      </w:r>
      <w:r>
        <w:rPr>
          <w:rFonts w:hint="eastAsia" w:ascii="黑体" w:hAnsi="黑体" w:eastAsia="黑体" w:cs="黑体"/>
        </w:rPr>
        <w:t>2</w:t>
      </w:r>
      <w:r>
        <w:rPr>
          <w:rFonts w:hint="eastAsia" w:ascii="黑体" w:hAnsi="黑体" w:eastAsia="黑体" w:cs="黑体"/>
        </w:rPr>
        <w:fldChar w:fldCharType="end"/>
      </w:r>
      <w:r>
        <w:rPr>
          <w:rFonts w:hint="eastAsia" w:ascii="黑体" w:hAnsi="黑体" w:eastAsia="黑体" w:cs="黑体"/>
          <w:bCs/>
        </w:rPr>
        <w:t>3</w:t>
      </w:r>
    </w:p>
    <w:p>
      <w:pPr>
        <w:pStyle w:val="10"/>
        <w:tabs>
          <w:tab w:val="right" w:leader="dot" w:pos="8306"/>
          <w:tab w:val="clear" w:pos="8296"/>
        </w:tabs>
        <w:rPr>
          <w:rFonts w:ascii="黑体" w:hAnsi="黑体" w:eastAsia="黑体" w:cs="黑体"/>
        </w:rPr>
      </w:pPr>
      <w:r>
        <w:fldChar w:fldCharType="begin"/>
      </w:r>
      <w:r>
        <w:instrText xml:space="preserve"> HYPERLINK \l "_Toc16820" </w:instrText>
      </w:r>
      <w:r>
        <w:fldChar w:fldCharType="separate"/>
      </w:r>
      <w:r>
        <w:rPr>
          <w:rFonts w:hint="eastAsia" w:ascii="黑体" w:hAnsi="黑体" w:eastAsia="黑体" w:cs="黑体"/>
        </w:rPr>
        <w:t>九、一般公共预算财政拨款项目支出决算表</w:t>
      </w:r>
      <w:r>
        <w:rPr>
          <w:rFonts w:hint="eastAsia" w:ascii="黑体" w:hAnsi="黑体" w:eastAsia="黑体" w:cs="黑体"/>
        </w:rPr>
        <w:tab/>
      </w:r>
      <w:r>
        <w:rPr>
          <w:rFonts w:hint="eastAsia" w:ascii="黑体" w:hAnsi="黑体" w:eastAsia="黑体" w:cs="黑体"/>
        </w:rPr>
        <w:t>2</w:t>
      </w:r>
      <w:r>
        <w:rPr>
          <w:rFonts w:hint="eastAsia" w:ascii="黑体" w:hAnsi="黑体" w:eastAsia="黑体" w:cs="黑体"/>
        </w:rPr>
        <w:fldChar w:fldCharType="end"/>
      </w:r>
      <w:r>
        <w:rPr>
          <w:rFonts w:hint="eastAsia" w:ascii="黑体" w:hAnsi="黑体" w:eastAsia="黑体" w:cs="黑体"/>
          <w:bCs/>
        </w:rPr>
        <w:t>4</w:t>
      </w:r>
    </w:p>
    <w:p>
      <w:pPr>
        <w:pStyle w:val="10"/>
        <w:tabs>
          <w:tab w:val="right" w:leader="dot" w:pos="8306"/>
          <w:tab w:val="clear" w:pos="8296"/>
        </w:tabs>
        <w:rPr>
          <w:rFonts w:ascii="黑体" w:hAnsi="黑体" w:eastAsia="黑体" w:cs="黑体"/>
        </w:rPr>
      </w:pPr>
      <w:r>
        <w:fldChar w:fldCharType="begin"/>
      </w:r>
      <w:r>
        <w:instrText xml:space="preserve"> HYPERLINK \l "_Toc19025" </w:instrText>
      </w:r>
      <w:r>
        <w:fldChar w:fldCharType="separate"/>
      </w:r>
      <w:r>
        <w:rPr>
          <w:rFonts w:hint="eastAsia" w:ascii="黑体" w:hAnsi="黑体" w:eastAsia="黑体" w:cs="黑体"/>
        </w:rPr>
        <w:t>十、一般公共预算财政拨款“三公”经费支出决算表</w:t>
      </w:r>
      <w:r>
        <w:rPr>
          <w:rFonts w:hint="eastAsia" w:ascii="黑体" w:hAnsi="黑体" w:eastAsia="黑体" w:cs="黑体"/>
        </w:rPr>
        <w:tab/>
      </w:r>
      <w:r>
        <w:rPr>
          <w:rFonts w:hint="eastAsia" w:ascii="黑体" w:hAnsi="黑体" w:eastAsia="黑体" w:cs="黑体"/>
        </w:rPr>
        <w:t>2</w:t>
      </w:r>
      <w:r>
        <w:rPr>
          <w:rFonts w:hint="eastAsia" w:ascii="黑体" w:hAnsi="黑体" w:eastAsia="黑体" w:cs="黑体"/>
        </w:rPr>
        <w:fldChar w:fldCharType="end"/>
      </w:r>
      <w:r>
        <w:rPr>
          <w:rFonts w:hint="eastAsia" w:ascii="黑体" w:hAnsi="黑体" w:eastAsia="黑体" w:cs="黑体"/>
          <w:bCs/>
        </w:rPr>
        <w:t>5</w:t>
      </w:r>
    </w:p>
    <w:p>
      <w:pPr>
        <w:pStyle w:val="10"/>
        <w:tabs>
          <w:tab w:val="right" w:leader="dot" w:pos="8306"/>
          <w:tab w:val="clear" w:pos="8296"/>
        </w:tabs>
        <w:rPr>
          <w:rFonts w:ascii="黑体" w:hAnsi="黑体" w:eastAsia="黑体" w:cs="黑体"/>
        </w:rPr>
      </w:pPr>
      <w:r>
        <w:fldChar w:fldCharType="begin"/>
      </w:r>
      <w:r>
        <w:instrText xml:space="preserve"> HYPERLINK \l "_Toc22781" </w:instrText>
      </w:r>
      <w:r>
        <w:fldChar w:fldCharType="separate"/>
      </w:r>
      <w:r>
        <w:rPr>
          <w:rFonts w:hint="eastAsia" w:ascii="黑体" w:hAnsi="黑体" w:eastAsia="黑体" w:cs="黑体"/>
        </w:rPr>
        <w:t>十一、政府性基金预算财政拨款收入支出决算表</w:t>
      </w:r>
      <w:r>
        <w:rPr>
          <w:rFonts w:hint="eastAsia" w:ascii="黑体" w:hAnsi="黑体" w:eastAsia="黑体" w:cs="黑体"/>
        </w:rPr>
        <w:tab/>
      </w:r>
      <w:r>
        <w:rPr>
          <w:rFonts w:hint="eastAsia" w:ascii="黑体" w:hAnsi="黑体" w:eastAsia="黑体" w:cs="黑体"/>
        </w:rPr>
        <w:t>2</w:t>
      </w:r>
      <w:r>
        <w:rPr>
          <w:rFonts w:hint="eastAsia" w:ascii="黑体" w:hAnsi="黑体" w:eastAsia="黑体" w:cs="黑体"/>
        </w:rPr>
        <w:fldChar w:fldCharType="end"/>
      </w:r>
      <w:r>
        <w:rPr>
          <w:rFonts w:hint="eastAsia" w:ascii="黑体" w:hAnsi="黑体" w:eastAsia="黑体" w:cs="黑体"/>
          <w:bCs/>
        </w:rPr>
        <w:t>6</w:t>
      </w:r>
    </w:p>
    <w:p>
      <w:pPr>
        <w:pStyle w:val="10"/>
        <w:tabs>
          <w:tab w:val="right" w:leader="dot" w:pos="8306"/>
          <w:tab w:val="clear" w:pos="8296"/>
        </w:tabs>
        <w:rPr>
          <w:rFonts w:ascii="黑体" w:hAnsi="黑体" w:eastAsia="黑体" w:cs="黑体"/>
        </w:rPr>
      </w:pPr>
      <w:r>
        <w:fldChar w:fldCharType="begin"/>
      </w:r>
      <w:r>
        <w:instrText xml:space="preserve"> HYPERLINK \l "_Toc16605" </w:instrText>
      </w:r>
      <w:r>
        <w:fldChar w:fldCharType="separate"/>
      </w:r>
      <w:r>
        <w:rPr>
          <w:rFonts w:hint="eastAsia" w:ascii="黑体" w:hAnsi="黑体" w:eastAsia="黑体" w:cs="黑体"/>
          <w:spacing w:val="-20"/>
        </w:rPr>
        <w:t>十二、政府性基金预算财政拨款“三公”经费支出决算表</w:t>
      </w:r>
      <w:r>
        <w:rPr>
          <w:rFonts w:hint="eastAsia" w:ascii="黑体" w:hAnsi="黑体" w:eastAsia="黑体" w:cs="黑体"/>
        </w:rPr>
        <w:tab/>
      </w:r>
      <w:r>
        <w:rPr>
          <w:rFonts w:hint="eastAsia" w:ascii="黑体" w:hAnsi="黑体" w:eastAsia="黑体" w:cs="黑体"/>
        </w:rPr>
        <w:t>2</w:t>
      </w:r>
      <w:r>
        <w:rPr>
          <w:rFonts w:hint="eastAsia" w:ascii="黑体" w:hAnsi="黑体" w:eastAsia="黑体" w:cs="黑体"/>
        </w:rPr>
        <w:fldChar w:fldCharType="end"/>
      </w:r>
      <w:r>
        <w:rPr>
          <w:rFonts w:hint="eastAsia" w:ascii="黑体" w:hAnsi="黑体" w:eastAsia="黑体" w:cs="黑体"/>
          <w:bCs/>
        </w:rPr>
        <w:t>7</w:t>
      </w:r>
    </w:p>
    <w:p>
      <w:pPr>
        <w:pStyle w:val="10"/>
        <w:tabs>
          <w:tab w:val="right" w:leader="dot" w:pos="8306"/>
          <w:tab w:val="clear" w:pos="8296"/>
        </w:tabs>
        <w:rPr>
          <w:rFonts w:ascii="黑体" w:hAnsi="黑体" w:eastAsia="黑体" w:cs="黑体"/>
        </w:rPr>
      </w:pPr>
      <w:r>
        <w:fldChar w:fldCharType="begin"/>
      </w:r>
      <w:r>
        <w:instrText xml:space="preserve"> HYPERLINK \l "_Toc25926" </w:instrText>
      </w:r>
      <w:r>
        <w:fldChar w:fldCharType="separate"/>
      </w:r>
      <w:r>
        <w:rPr>
          <w:rFonts w:hint="eastAsia" w:ascii="黑体" w:hAnsi="黑体" w:eastAsia="黑体" w:cs="黑体"/>
        </w:rPr>
        <w:t>十三、国有资本经营预算财政拨款收入支出决算表</w:t>
      </w:r>
      <w:r>
        <w:rPr>
          <w:rFonts w:hint="eastAsia" w:ascii="黑体" w:hAnsi="黑体" w:eastAsia="黑体" w:cs="黑体"/>
        </w:rPr>
        <w:tab/>
      </w:r>
      <w:r>
        <w:rPr>
          <w:rFonts w:hint="eastAsia" w:ascii="黑体" w:hAnsi="黑体" w:eastAsia="黑体" w:cs="黑体"/>
        </w:rPr>
        <w:t>2</w:t>
      </w:r>
      <w:r>
        <w:rPr>
          <w:rFonts w:hint="eastAsia" w:ascii="黑体" w:hAnsi="黑体" w:eastAsia="黑体" w:cs="黑体"/>
        </w:rPr>
        <w:fldChar w:fldCharType="end"/>
      </w:r>
      <w:r>
        <w:rPr>
          <w:rFonts w:hint="eastAsia" w:ascii="黑体" w:hAnsi="黑体" w:eastAsia="黑体" w:cs="黑体"/>
          <w:bCs/>
        </w:rPr>
        <w:t>8</w:t>
      </w:r>
    </w:p>
    <w:p>
      <w:pPr>
        <w:pStyle w:val="10"/>
        <w:tabs>
          <w:tab w:val="right" w:leader="dot" w:pos="8306"/>
          <w:tab w:val="clear" w:pos="8296"/>
        </w:tabs>
        <w:rPr>
          <w:rFonts w:ascii="黑体" w:hAnsi="黑体" w:eastAsia="黑体" w:cs="黑体"/>
        </w:rPr>
      </w:pPr>
      <w:r>
        <w:fldChar w:fldCharType="begin"/>
      </w:r>
      <w:r>
        <w:instrText xml:space="preserve"> HYPERLINK \l "_Toc23774" </w:instrText>
      </w:r>
      <w:r>
        <w:fldChar w:fldCharType="separate"/>
      </w:r>
      <w:r>
        <w:rPr>
          <w:rFonts w:hint="eastAsia" w:ascii="黑体" w:hAnsi="黑体" w:eastAsia="黑体" w:cs="黑体"/>
        </w:rPr>
        <w:t>十四、国有资本经营预算财政拨款支出决算表</w:t>
      </w:r>
      <w:r>
        <w:rPr>
          <w:rFonts w:hint="eastAsia" w:ascii="黑体" w:hAnsi="黑体" w:eastAsia="黑体" w:cs="黑体"/>
        </w:rPr>
        <w:tab/>
      </w:r>
      <w:r>
        <w:rPr>
          <w:rFonts w:hint="eastAsia" w:ascii="黑体" w:hAnsi="黑体" w:eastAsia="黑体" w:cs="黑体"/>
        </w:rPr>
        <w:t>2</w:t>
      </w:r>
      <w:r>
        <w:rPr>
          <w:rFonts w:hint="eastAsia" w:ascii="黑体" w:hAnsi="黑体" w:eastAsia="黑体" w:cs="黑体"/>
        </w:rPr>
        <w:fldChar w:fldCharType="end"/>
      </w:r>
      <w:r>
        <w:rPr>
          <w:rFonts w:hint="eastAsia" w:ascii="黑体" w:hAnsi="黑体" w:eastAsia="黑体" w:cs="黑体"/>
          <w:bCs/>
        </w:rPr>
        <w:t>9</w:t>
      </w:r>
    </w:p>
    <w:p>
      <w:pPr>
        <w:pStyle w:val="9"/>
        <w:widowControl/>
        <w:tabs>
          <w:tab w:val="right" w:leader="dot" w:pos="8306"/>
          <w:tab w:val="clear" w:pos="8296"/>
        </w:tabs>
        <w:adjustRightInd w:val="0"/>
        <w:snapToGrid w:val="0"/>
        <w:spacing w:line="360" w:lineRule="auto"/>
        <w:rPr>
          <w:rFonts w:ascii="Times New Roman" w:hAnsi="Times New Roman" w:eastAsia="黑体"/>
          <w:b/>
          <w:bCs/>
          <w:kern w:val="44"/>
          <w:sz w:val="44"/>
          <w:szCs w:val="44"/>
        </w:rPr>
      </w:pPr>
      <w:r>
        <w:rPr>
          <w:rFonts w:hint="eastAsia" w:ascii="黑体" w:hAnsi="黑体" w:eastAsia="黑体" w:cs="黑体"/>
          <w:bCs/>
        </w:rPr>
        <w:fldChar w:fldCharType="end"/>
      </w:r>
    </w:p>
    <w:p>
      <w:pPr>
        <w:pStyle w:val="3"/>
        <w:adjustRightInd w:val="0"/>
        <w:snapToGrid w:val="0"/>
        <w:spacing w:after="0" w:line="600" w:lineRule="exact"/>
        <w:rPr>
          <w:rFonts w:eastAsia="黑体"/>
        </w:rPr>
        <w:sectPr>
          <w:headerReference r:id="rId5" w:type="default"/>
          <w:footerReference r:id="rId6" w:type="default"/>
          <w:pgSz w:w="11906" w:h="16838"/>
          <w:pgMar w:top="1440" w:right="1800" w:bottom="1440" w:left="1800" w:header="851" w:footer="992" w:gutter="0"/>
          <w:pgNumType w:start="1"/>
          <w:cols w:space="425" w:num="1"/>
          <w:docGrid w:type="lines" w:linePitch="312" w:charSpace="0"/>
        </w:sectPr>
      </w:pPr>
      <w:bookmarkStart w:id="23" w:name="_Toc14371"/>
    </w:p>
    <w:p>
      <w:pPr>
        <w:pStyle w:val="3"/>
        <w:adjustRightInd w:val="0"/>
        <w:snapToGrid w:val="0"/>
        <w:spacing w:after="0" w:line="600" w:lineRule="exact"/>
        <w:jc w:val="center"/>
        <w:rPr>
          <w:rStyle w:val="23"/>
          <w:rFonts w:eastAsia="黑体"/>
          <w:b/>
          <w:bCs/>
        </w:rPr>
      </w:pPr>
      <w:bookmarkStart w:id="24" w:name="_Toc18827"/>
      <w:r>
        <w:rPr>
          <w:rFonts w:eastAsia="黑体"/>
        </w:rPr>
        <w:t xml:space="preserve">第一部分 </w:t>
      </w:r>
      <w:r>
        <w:rPr>
          <w:rFonts w:hint="eastAsia" w:eastAsia="黑体"/>
        </w:rPr>
        <w:t>单位</w:t>
      </w:r>
      <w:r>
        <w:rPr>
          <w:rStyle w:val="23"/>
          <w:rFonts w:eastAsia="黑体"/>
          <w:b/>
          <w:bCs/>
        </w:rPr>
        <w:t>概况</w:t>
      </w:r>
      <w:bookmarkEnd w:id="22"/>
      <w:bookmarkEnd w:id="23"/>
      <w:bookmarkEnd w:id="24"/>
    </w:p>
    <w:p/>
    <w:p>
      <w:pPr>
        <w:pStyle w:val="4"/>
        <w:adjustRightInd w:val="0"/>
        <w:snapToGrid w:val="0"/>
        <w:spacing w:before="0" w:after="0" w:line="600" w:lineRule="exact"/>
        <w:ind w:firstLine="643" w:firstLineChars="200"/>
        <w:rPr>
          <w:rStyle w:val="24"/>
          <w:rFonts w:ascii="Times New Roman" w:hAnsi="Times New Roman" w:eastAsia="黑体" w:cs="Times New Roman"/>
          <w:b/>
          <w:bCs/>
        </w:rPr>
      </w:pPr>
      <w:bookmarkStart w:id="25" w:name="_Toc21807"/>
      <w:bookmarkStart w:id="26" w:name="_Toc15377197"/>
      <w:bookmarkStart w:id="27" w:name="_Toc27159"/>
      <w:r>
        <w:rPr>
          <w:rFonts w:ascii="Times New Roman" w:hAnsi="Times New Roman" w:eastAsia="黑体" w:cs="Times New Roman"/>
          <w:color w:val="000000"/>
        </w:rPr>
        <w:t>一、</w:t>
      </w:r>
      <w:r>
        <w:rPr>
          <w:rStyle w:val="24"/>
          <w:rFonts w:ascii="Times New Roman" w:hAnsi="Times New Roman" w:eastAsia="黑体" w:cs="Times New Roman"/>
          <w:b/>
          <w:bCs/>
        </w:rPr>
        <w:t>职能</w:t>
      </w:r>
      <w:bookmarkEnd w:id="25"/>
      <w:bookmarkEnd w:id="26"/>
      <w:bookmarkStart w:id="28" w:name="_Toc15378445"/>
      <w:bookmarkStart w:id="29" w:name="_Toc15377198"/>
      <w:r>
        <w:rPr>
          <w:rStyle w:val="24"/>
          <w:rFonts w:hint="eastAsia" w:ascii="Times New Roman" w:hAnsi="Times New Roman" w:eastAsia="黑体" w:cs="Times New Roman"/>
          <w:b/>
          <w:bCs/>
        </w:rPr>
        <w:t>简介</w:t>
      </w:r>
      <w:bookmarkEnd w:id="27"/>
    </w:p>
    <w:bookmarkEnd w:id="28"/>
    <w:bookmarkEnd w:id="29"/>
    <w:p>
      <w:pPr>
        <w:pStyle w:val="2"/>
        <w:adjustRightInd w:val="0"/>
        <w:snapToGrid w:val="0"/>
        <w:spacing w:beforeLines="0" w:line="600" w:lineRule="exact"/>
        <w:ind w:firstLine="675" w:firstLineChars="210"/>
        <w:rPr>
          <w:rFonts w:ascii="仿宋" w:hAnsi="仿宋" w:eastAsia="仿宋" w:cs="仿宋"/>
          <w:b/>
          <w:bCs/>
          <w:kern w:val="2"/>
          <w:sz w:val="32"/>
          <w:szCs w:val="32"/>
        </w:rPr>
      </w:pPr>
      <w:r>
        <w:rPr>
          <w:rFonts w:hint="eastAsia" w:ascii="仿宋" w:hAnsi="仿宋" w:eastAsia="仿宋" w:cs="仿宋"/>
          <w:b/>
          <w:bCs/>
          <w:kern w:val="2"/>
          <w:sz w:val="32"/>
          <w:szCs w:val="32"/>
        </w:rPr>
        <w:t>承担中共四川省委办公厅互联网信息服务工作；承担互联网等媒体有关信息的收集、分析等工作；承担省委办公厅交办的其他工作。</w:t>
      </w:r>
    </w:p>
    <w:p>
      <w:pPr>
        <w:pStyle w:val="4"/>
        <w:adjustRightInd w:val="0"/>
        <w:snapToGrid w:val="0"/>
        <w:spacing w:before="0" w:after="0" w:line="600" w:lineRule="exact"/>
        <w:ind w:firstLine="643" w:firstLineChars="200"/>
        <w:rPr>
          <w:rFonts w:ascii="黑体" w:hAnsi="黑体" w:eastAsia="黑体" w:cs="黑体"/>
          <w:color w:val="000000"/>
        </w:rPr>
      </w:pPr>
      <w:bookmarkStart w:id="30" w:name="_Toc15377199"/>
      <w:bookmarkStart w:id="31" w:name="_Toc15378446"/>
      <w:bookmarkStart w:id="32" w:name="_Toc14357"/>
      <w:r>
        <w:rPr>
          <w:rFonts w:hint="eastAsia" w:ascii="黑体" w:hAnsi="黑体" w:eastAsia="黑体" w:cs="黑体"/>
          <w:color w:val="000000"/>
        </w:rPr>
        <w:t>二、2020年重点工作完成情况</w:t>
      </w:r>
      <w:bookmarkEnd w:id="30"/>
      <w:bookmarkEnd w:id="31"/>
      <w:bookmarkEnd w:id="32"/>
    </w:p>
    <w:p>
      <w:pPr>
        <w:adjustRightInd w:val="0"/>
        <w:snapToGrid w:val="0"/>
        <w:spacing w:line="600" w:lineRule="exact"/>
        <w:ind w:firstLine="643" w:firstLineChars="200"/>
        <w:rPr>
          <w:rFonts w:hint="eastAsia" w:ascii="仿宋" w:hAnsi="仿宋" w:eastAsia="仿宋" w:cs="仿宋"/>
          <w:b/>
          <w:bCs/>
          <w:sz w:val="32"/>
          <w:szCs w:val="32"/>
        </w:rPr>
      </w:pPr>
      <w:bookmarkStart w:id="33" w:name="_Toc15377204"/>
      <w:bookmarkStart w:id="34" w:name="_Toc27188"/>
      <w:r>
        <w:rPr>
          <w:rFonts w:hint="eastAsia" w:ascii="仿宋" w:hAnsi="仿宋" w:eastAsia="仿宋" w:cs="仿宋"/>
          <w:b/>
          <w:bCs/>
          <w:sz w:val="32"/>
          <w:szCs w:val="32"/>
        </w:rPr>
        <w:t>2020年，省委办公厅互联网信息中心坚定以习近平新时代中国特色社会主义思想为指导，始终围绕中心大局谋划和推进信息服务，各项工作取得新进展新成效。一年来，累计编报《网情摘报》164期、《参阅信息》91期，合作编报《每日要情》249期，努力为省委决策提供有效信息资政服务。</w:t>
      </w:r>
    </w:p>
    <w:p>
      <w:pPr>
        <w:pStyle w:val="4"/>
        <w:spacing w:before="0" w:after="0"/>
        <w:ind w:firstLine="643" w:firstLineChars="200"/>
        <w:rPr>
          <w:rFonts w:ascii="黑体" w:hAnsi="黑体" w:eastAsia="黑体" w:cs="黑体"/>
        </w:rPr>
      </w:pPr>
      <w:r>
        <w:rPr>
          <w:rFonts w:hint="eastAsia" w:ascii="黑体" w:hAnsi="黑体" w:eastAsia="黑体" w:cs="黑体"/>
        </w:rPr>
        <w:t>三、机构设置情况</w:t>
      </w:r>
    </w:p>
    <w:p>
      <w:pPr>
        <w:adjustRightInd w:val="0"/>
        <w:snapToGrid w:val="0"/>
        <w:spacing w:line="600" w:lineRule="exact"/>
        <w:ind w:firstLine="643" w:firstLineChars="200"/>
        <w:rPr>
          <w:rFonts w:hint="eastAsia" w:ascii="仿宋" w:hAnsi="仿宋" w:eastAsia="仿宋" w:cs="仿宋"/>
          <w:b/>
          <w:bCs/>
          <w:sz w:val="32"/>
          <w:szCs w:val="32"/>
        </w:rPr>
      </w:pPr>
      <w:r>
        <w:rPr>
          <w:rFonts w:hint="eastAsia" w:ascii="仿宋" w:hAnsi="仿宋" w:eastAsia="仿宋" w:cs="仿宋"/>
          <w:b/>
          <w:bCs/>
          <w:sz w:val="32"/>
          <w:szCs w:val="32"/>
        </w:rPr>
        <w:t>中共四川省委办公厅互联网信息中心无内设机构。</w:t>
      </w:r>
    </w:p>
    <w:p>
      <w:pPr>
        <w:pStyle w:val="2"/>
        <w:spacing w:before="93"/>
      </w:pPr>
    </w:p>
    <w:p>
      <w:pPr>
        <w:pStyle w:val="2"/>
        <w:spacing w:before="93"/>
        <w:sectPr>
          <w:headerReference r:id="rId7" w:type="default"/>
          <w:footerReference r:id="rId8" w:type="default"/>
          <w:pgSz w:w="11906" w:h="16838"/>
          <w:pgMar w:top="1440" w:right="1800" w:bottom="1440" w:left="1800" w:header="851" w:footer="992" w:gutter="0"/>
          <w:pgNumType w:start="1"/>
          <w:cols w:space="425" w:num="1"/>
          <w:docGrid w:type="lines" w:linePitch="312" w:charSpace="0"/>
        </w:sectPr>
      </w:pPr>
    </w:p>
    <w:p>
      <w:pPr>
        <w:pStyle w:val="3"/>
        <w:adjustRightInd w:val="0"/>
        <w:snapToGrid w:val="0"/>
        <w:spacing w:after="0" w:line="600" w:lineRule="exact"/>
        <w:ind w:right="440"/>
        <w:jc w:val="center"/>
        <w:rPr>
          <w:rStyle w:val="23"/>
          <w:rFonts w:eastAsia="黑体"/>
          <w:b/>
          <w:bCs/>
        </w:rPr>
      </w:pPr>
      <w:bookmarkStart w:id="35" w:name="_Toc31593"/>
      <w:r>
        <w:rPr>
          <w:rFonts w:eastAsia="黑体"/>
          <w:color w:val="000000"/>
        </w:rPr>
        <w:t xml:space="preserve">第二部分 </w:t>
      </w:r>
      <w:r>
        <w:rPr>
          <w:rStyle w:val="23"/>
          <w:rFonts w:hint="eastAsia" w:ascii="黑体" w:hAnsi="黑体" w:eastAsia="黑体" w:cs="黑体"/>
          <w:b/>
          <w:bCs/>
        </w:rPr>
        <w:t>2020</w:t>
      </w:r>
      <w:r>
        <w:rPr>
          <w:rStyle w:val="23"/>
          <w:rFonts w:eastAsia="黑体"/>
          <w:b/>
          <w:bCs/>
        </w:rPr>
        <w:t>年度</w:t>
      </w:r>
      <w:r>
        <w:rPr>
          <w:rStyle w:val="23"/>
          <w:rFonts w:hint="eastAsia" w:eastAsia="黑体"/>
          <w:b/>
          <w:bCs/>
        </w:rPr>
        <w:t>单位</w:t>
      </w:r>
      <w:r>
        <w:rPr>
          <w:rStyle w:val="23"/>
          <w:rFonts w:eastAsia="黑体"/>
          <w:b/>
          <w:bCs/>
        </w:rPr>
        <w:t>决算情况说明</w:t>
      </w:r>
      <w:bookmarkEnd w:id="33"/>
      <w:bookmarkEnd w:id="34"/>
      <w:bookmarkEnd w:id="35"/>
    </w:p>
    <w:p/>
    <w:p>
      <w:pPr>
        <w:pStyle w:val="4"/>
        <w:adjustRightInd w:val="0"/>
        <w:snapToGrid w:val="0"/>
        <w:spacing w:before="0" w:after="0" w:line="600" w:lineRule="exact"/>
        <w:ind w:firstLine="643" w:firstLineChars="200"/>
        <w:rPr>
          <w:b w:val="0"/>
          <w:bCs w:val="0"/>
          <w:color w:val="000000"/>
        </w:rPr>
      </w:pPr>
      <w:bookmarkStart w:id="36" w:name="_Toc13560"/>
      <w:bookmarkStart w:id="37" w:name="_Toc7800"/>
      <w:bookmarkStart w:id="38" w:name="_Toc15377205"/>
      <w:r>
        <w:rPr>
          <w:rFonts w:hint="eastAsia" w:ascii="Times New Roman" w:hAnsi="Times New Roman" w:eastAsia="黑体" w:cs="Times New Roman"/>
          <w:color w:val="000000"/>
        </w:rPr>
        <w:t>一、</w:t>
      </w:r>
      <w:r>
        <w:rPr>
          <w:rFonts w:ascii="Times New Roman" w:hAnsi="Times New Roman" w:eastAsia="黑体" w:cs="Times New Roman"/>
          <w:color w:val="000000"/>
        </w:rPr>
        <w:t>收</w:t>
      </w:r>
      <w:r>
        <w:rPr>
          <w:color w:val="000000"/>
        </w:rPr>
        <w:t>入支出决算总体情况说明</w:t>
      </w:r>
      <w:bookmarkEnd w:id="36"/>
      <w:bookmarkEnd w:id="37"/>
      <w:bookmarkEnd w:id="38"/>
    </w:p>
    <w:p>
      <w:pPr>
        <w:adjustRightInd w:val="0"/>
        <w:snapToGrid w:val="0"/>
        <w:spacing w:afterLines="67" w:line="600" w:lineRule="exact"/>
        <w:ind w:firstLine="643" w:firstLineChars="200"/>
        <w:rPr>
          <w:rFonts w:ascii="仿宋" w:hAnsi="仿宋" w:eastAsia="仿宋" w:cs="仿宋"/>
          <w:b/>
          <w:bCs/>
          <w:sz w:val="32"/>
          <w:szCs w:val="32"/>
        </w:rPr>
      </w:pPr>
      <w:r>
        <w:rPr>
          <w:rFonts w:hint="eastAsia" w:ascii="仿宋" w:hAnsi="仿宋" w:eastAsia="仿宋" w:cs="仿宋"/>
          <w:b/>
          <w:bCs/>
          <w:sz w:val="32"/>
          <w:szCs w:val="32"/>
        </w:rPr>
        <w:t>2020年度收、支总计为216.35万元，与2019年度收、支总计181.48万元相比，收、支总计各增加34.87万元，增长19.21%。主要变动原因是2020年一次性补发无房职工购房补贴40.17万元。</w:t>
      </w:r>
    </w:p>
    <w:p>
      <w:pPr>
        <w:widowControl/>
        <w:jc w:val="center"/>
        <w:rPr>
          <w:rFonts w:eastAsia="仿宋_GB2312"/>
          <w:b/>
          <w:bCs/>
          <w:sz w:val="32"/>
          <w:szCs w:val="32"/>
        </w:rPr>
      </w:pPr>
      <w:r>
        <w:rPr>
          <w:rFonts w:eastAsia="仿宋_GB2312"/>
          <w:b/>
          <w:bCs/>
          <w:sz w:val="32"/>
          <w:szCs w:val="32"/>
        </w:rPr>
        <w:drawing>
          <wp:inline distT="0" distB="0" distL="0" distR="0">
            <wp:extent cx="3079115" cy="2638425"/>
            <wp:effectExtent l="0" t="0" r="6985" b="952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3079115" cy="2638103"/>
                    </a:xfrm>
                    <a:prstGeom prst="rect">
                      <a:avLst/>
                    </a:prstGeom>
                    <a:noFill/>
                  </pic:spPr>
                </pic:pic>
              </a:graphicData>
            </a:graphic>
          </wp:inline>
        </w:drawing>
      </w:r>
    </w:p>
    <w:p>
      <w:pPr>
        <w:pStyle w:val="4"/>
        <w:adjustRightInd w:val="0"/>
        <w:snapToGrid w:val="0"/>
        <w:spacing w:before="0" w:after="0" w:line="600" w:lineRule="exact"/>
        <w:ind w:firstLine="643" w:firstLineChars="200"/>
        <w:rPr>
          <w:b w:val="0"/>
          <w:bCs w:val="0"/>
          <w:color w:val="000000"/>
        </w:rPr>
      </w:pPr>
      <w:bookmarkStart w:id="39" w:name="_Toc28389"/>
      <w:bookmarkStart w:id="40" w:name="_Toc15377206"/>
      <w:bookmarkStart w:id="41" w:name="_Toc7000"/>
      <w:r>
        <w:rPr>
          <w:rFonts w:hint="eastAsia" w:ascii="Times New Roman" w:hAnsi="Times New Roman" w:eastAsia="黑体" w:cs="Times New Roman"/>
          <w:color w:val="000000"/>
        </w:rPr>
        <w:t>二、</w:t>
      </w:r>
      <w:r>
        <w:rPr>
          <w:rFonts w:ascii="Times New Roman" w:hAnsi="Times New Roman" w:eastAsia="黑体" w:cs="Times New Roman"/>
          <w:color w:val="000000"/>
        </w:rPr>
        <w:t>收</w:t>
      </w:r>
      <w:r>
        <w:rPr>
          <w:color w:val="000000"/>
        </w:rPr>
        <w:t>入决算情况说明</w:t>
      </w:r>
      <w:bookmarkEnd w:id="39"/>
      <w:bookmarkEnd w:id="40"/>
      <w:bookmarkEnd w:id="41"/>
    </w:p>
    <w:p>
      <w:pPr>
        <w:adjustRightInd w:val="0"/>
        <w:snapToGrid w:val="0"/>
        <w:spacing w:line="600" w:lineRule="exact"/>
        <w:ind w:firstLine="640"/>
        <w:rPr>
          <w:rFonts w:ascii="仿宋" w:hAnsi="仿宋" w:eastAsia="仿宋" w:cs="仿宋"/>
          <w:b/>
          <w:bCs/>
          <w:sz w:val="32"/>
          <w:szCs w:val="32"/>
        </w:rPr>
      </w:pPr>
      <w:r>
        <w:rPr>
          <w:rFonts w:hint="eastAsia" w:ascii="仿宋" w:hAnsi="仿宋" w:eastAsia="仿宋" w:cs="仿宋"/>
          <w:b/>
          <w:bCs/>
          <w:sz w:val="32"/>
          <w:szCs w:val="32"/>
        </w:rPr>
        <w:t>2020年本年收入合计216.35万元，均为一般公共预算拨款收入，占100%。</w:t>
      </w:r>
    </w:p>
    <w:p>
      <w:pPr>
        <w:widowControl/>
        <w:jc w:val="center"/>
        <w:rPr>
          <w:kern w:val="0"/>
          <w:sz w:val="32"/>
          <w:szCs w:val="32"/>
        </w:rPr>
      </w:pPr>
      <w:r>
        <w:rPr>
          <w:kern w:val="0"/>
          <w:sz w:val="32"/>
          <w:szCs w:val="32"/>
        </w:rPr>
        <w:drawing>
          <wp:inline distT="0" distB="0" distL="0" distR="0">
            <wp:extent cx="3034665" cy="1952625"/>
            <wp:effectExtent l="0" t="0" r="13335"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3034665" cy="1952372"/>
                    </a:xfrm>
                    <a:prstGeom prst="rect">
                      <a:avLst/>
                    </a:prstGeom>
                    <a:noFill/>
                  </pic:spPr>
                </pic:pic>
              </a:graphicData>
            </a:graphic>
          </wp:inline>
        </w:drawing>
      </w:r>
    </w:p>
    <w:p>
      <w:pPr>
        <w:pStyle w:val="4"/>
        <w:adjustRightInd w:val="0"/>
        <w:snapToGrid w:val="0"/>
        <w:spacing w:before="0" w:after="0" w:line="600" w:lineRule="exact"/>
        <w:ind w:firstLine="643" w:firstLineChars="200"/>
        <w:rPr>
          <w:b w:val="0"/>
          <w:bCs w:val="0"/>
          <w:color w:val="000000"/>
        </w:rPr>
      </w:pPr>
      <w:bookmarkStart w:id="42" w:name="_Toc15377207"/>
      <w:bookmarkStart w:id="43" w:name="_Toc5633"/>
      <w:bookmarkStart w:id="44" w:name="_Toc5664"/>
      <w:r>
        <w:rPr>
          <w:rFonts w:hint="eastAsia" w:ascii="Times New Roman" w:hAnsi="Times New Roman" w:eastAsia="黑体" w:cs="Times New Roman"/>
          <w:color w:val="000000"/>
        </w:rPr>
        <w:t>三、</w:t>
      </w:r>
      <w:r>
        <w:rPr>
          <w:rFonts w:ascii="Times New Roman" w:hAnsi="Times New Roman" w:eastAsia="黑体" w:cs="Times New Roman"/>
          <w:color w:val="000000"/>
        </w:rPr>
        <w:t>支</w:t>
      </w:r>
      <w:r>
        <w:rPr>
          <w:color w:val="000000"/>
        </w:rPr>
        <w:t>出决算情况说明</w:t>
      </w:r>
      <w:bookmarkEnd w:id="42"/>
      <w:bookmarkEnd w:id="43"/>
      <w:bookmarkEnd w:id="44"/>
    </w:p>
    <w:p>
      <w:pPr>
        <w:adjustRightInd w:val="0"/>
        <w:snapToGrid w:val="0"/>
        <w:spacing w:afterLines="100" w:line="600" w:lineRule="exact"/>
        <w:ind w:firstLine="640"/>
        <w:rPr>
          <w:rFonts w:ascii="仿宋" w:hAnsi="仿宋" w:eastAsia="仿宋" w:cs="仿宋"/>
          <w:b/>
          <w:bCs/>
          <w:sz w:val="32"/>
          <w:szCs w:val="32"/>
        </w:rPr>
      </w:pPr>
      <w:r>
        <w:rPr>
          <w:rFonts w:hint="eastAsia" w:ascii="仿宋" w:hAnsi="仿宋" w:eastAsia="仿宋" w:cs="仿宋"/>
          <w:b/>
          <w:bCs/>
          <w:sz w:val="32"/>
          <w:szCs w:val="32"/>
        </w:rPr>
        <w:t>2020年本年支出合计216.35万元，其中，基本支出171.35万元、占79.20%；项目支出45万元、占20.80%。</w:t>
      </w:r>
    </w:p>
    <w:p>
      <w:pPr>
        <w:widowControl/>
        <w:jc w:val="center"/>
        <w:rPr>
          <w:rFonts w:eastAsia="黑体"/>
          <w:b/>
          <w:bCs/>
          <w:color w:val="000000"/>
          <w:sz w:val="32"/>
          <w:szCs w:val="32"/>
        </w:rPr>
      </w:pPr>
      <w:bookmarkStart w:id="45" w:name="_Toc30299"/>
      <w:bookmarkStart w:id="46" w:name="_Toc15377208"/>
      <w:r>
        <w:rPr>
          <w:rFonts w:eastAsia="黑体"/>
          <w:b/>
          <w:bCs/>
          <w:color w:val="000000"/>
          <w:sz w:val="32"/>
          <w:szCs w:val="32"/>
        </w:rPr>
        <w:drawing>
          <wp:inline distT="0" distB="0" distL="0" distR="0">
            <wp:extent cx="3181350" cy="2428875"/>
            <wp:effectExtent l="0" t="0" r="0" b="952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3181350" cy="2428538"/>
                    </a:xfrm>
                    <a:prstGeom prst="rect">
                      <a:avLst/>
                    </a:prstGeom>
                    <a:noFill/>
                  </pic:spPr>
                </pic:pic>
              </a:graphicData>
            </a:graphic>
          </wp:inline>
        </w:drawing>
      </w:r>
    </w:p>
    <w:p>
      <w:pPr>
        <w:pStyle w:val="4"/>
        <w:adjustRightInd w:val="0"/>
        <w:snapToGrid w:val="0"/>
        <w:spacing w:before="0" w:after="0" w:line="600" w:lineRule="exact"/>
        <w:ind w:firstLine="643" w:firstLineChars="200"/>
        <w:rPr>
          <w:rStyle w:val="24"/>
          <w:rFonts w:ascii="Times New Roman" w:hAnsi="Times New Roman" w:eastAsia="黑体" w:cs="Times New Roman"/>
          <w:b w:val="0"/>
          <w:bCs w:val="0"/>
        </w:rPr>
      </w:pPr>
      <w:bookmarkStart w:id="47" w:name="_Toc10202"/>
      <w:r>
        <w:rPr>
          <w:rFonts w:ascii="Times New Roman" w:hAnsi="Times New Roman" w:eastAsia="黑体" w:cs="Times New Roman"/>
          <w:color w:val="000000"/>
        </w:rPr>
        <w:t>四、财</w:t>
      </w:r>
      <w:r>
        <w:rPr>
          <w:rStyle w:val="24"/>
          <w:rFonts w:ascii="Times New Roman" w:hAnsi="Times New Roman" w:eastAsia="黑体" w:cs="Times New Roman"/>
          <w:b/>
          <w:bCs/>
        </w:rPr>
        <w:t>政拨款</w:t>
      </w:r>
      <w:r>
        <w:rPr>
          <w:color w:val="000000"/>
        </w:rPr>
        <w:t>收入</w:t>
      </w:r>
      <w:r>
        <w:rPr>
          <w:rStyle w:val="24"/>
          <w:rFonts w:ascii="Times New Roman" w:hAnsi="Times New Roman" w:eastAsia="黑体" w:cs="Times New Roman"/>
          <w:b/>
          <w:bCs/>
        </w:rPr>
        <w:t>支出决算总体情况说明</w:t>
      </w:r>
      <w:bookmarkEnd w:id="45"/>
      <w:bookmarkEnd w:id="46"/>
      <w:bookmarkEnd w:id="47"/>
    </w:p>
    <w:p>
      <w:pPr>
        <w:adjustRightInd w:val="0"/>
        <w:snapToGrid w:val="0"/>
        <w:spacing w:afterLines="100" w:line="600" w:lineRule="exact"/>
        <w:ind w:firstLine="640"/>
        <w:rPr>
          <w:rFonts w:ascii="仿宋" w:hAnsi="仿宋" w:eastAsia="仿宋" w:cs="仿宋"/>
          <w:b/>
          <w:bCs/>
          <w:sz w:val="32"/>
          <w:szCs w:val="32"/>
        </w:rPr>
      </w:pPr>
      <w:r>
        <w:rPr>
          <w:rFonts w:hint="eastAsia" w:ascii="仿宋" w:hAnsi="仿宋" w:eastAsia="仿宋" w:cs="仿宋"/>
          <w:b/>
          <w:bCs/>
          <w:sz w:val="32"/>
          <w:szCs w:val="32"/>
        </w:rPr>
        <w:t>2020年财政拨款收、支总计216.35万元。与2019年收、支总计181.48万元相比，收、支总计各增加34.87万元，增长19.21%。主要变动原因是2020年一次性补发无房职工购房补贴40.17万元。</w:t>
      </w:r>
    </w:p>
    <w:p>
      <w:pPr>
        <w:widowControl/>
        <w:jc w:val="center"/>
        <w:rPr>
          <w:rFonts w:eastAsia="仿宋"/>
          <w:b/>
          <w:bCs/>
          <w:color w:val="000000" w:themeColor="text1"/>
          <w:sz w:val="32"/>
          <w:szCs w:val="32"/>
        </w:rPr>
      </w:pPr>
      <w:r>
        <w:rPr>
          <w:rFonts w:eastAsia="仿宋"/>
          <w:b/>
          <w:bCs/>
          <w:color w:val="000000" w:themeColor="text1"/>
          <w:sz w:val="32"/>
          <w:szCs w:val="32"/>
        </w:rPr>
        <w:drawing>
          <wp:inline distT="0" distB="0" distL="0" distR="0">
            <wp:extent cx="3286760" cy="2562225"/>
            <wp:effectExtent l="0" t="0" r="8890" b="952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3286760" cy="2561870"/>
                    </a:xfrm>
                    <a:prstGeom prst="rect">
                      <a:avLst/>
                    </a:prstGeom>
                    <a:noFill/>
                  </pic:spPr>
                </pic:pic>
              </a:graphicData>
            </a:graphic>
          </wp:inline>
        </w:drawing>
      </w:r>
    </w:p>
    <w:p>
      <w:pPr>
        <w:pStyle w:val="4"/>
        <w:adjustRightInd w:val="0"/>
        <w:snapToGrid w:val="0"/>
        <w:spacing w:before="0" w:after="0" w:line="600" w:lineRule="exact"/>
        <w:ind w:firstLine="643" w:firstLineChars="200"/>
        <w:rPr>
          <w:rStyle w:val="24"/>
          <w:rFonts w:ascii="Times New Roman" w:hAnsi="Times New Roman" w:eastAsia="黑体" w:cs="Times New Roman"/>
          <w:b w:val="0"/>
          <w:bCs w:val="0"/>
        </w:rPr>
      </w:pPr>
      <w:bookmarkStart w:id="48" w:name="_Toc15377209"/>
      <w:bookmarkStart w:id="49" w:name="_Toc13717"/>
      <w:bookmarkStart w:id="50" w:name="_Toc2881"/>
      <w:r>
        <w:rPr>
          <w:rFonts w:ascii="Times New Roman" w:hAnsi="Times New Roman" w:eastAsia="黑体" w:cs="Times New Roman"/>
          <w:color w:val="000000"/>
        </w:rPr>
        <w:t>五、一</w:t>
      </w:r>
      <w:r>
        <w:rPr>
          <w:rStyle w:val="24"/>
          <w:rFonts w:ascii="Times New Roman" w:hAnsi="Times New Roman" w:eastAsia="黑体" w:cs="Times New Roman"/>
          <w:b/>
          <w:bCs/>
        </w:rPr>
        <w:t>般公共预算财政拨款支出决算情况说明</w:t>
      </w:r>
      <w:bookmarkEnd w:id="48"/>
      <w:bookmarkEnd w:id="49"/>
      <w:bookmarkEnd w:id="50"/>
    </w:p>
    <w:p>
      <w:pPr>
        <w:adjustRightInd w:val="0"/>
        <w:snapToGrid w:val="0"/>
        <w:spacing w:line="600" w:lineRule="exact"/>
        <w:ind w:firstLine="643" w:firstLineChars="200"/>
        <w:outlineLvl w:val="2"/>
        <w:rPr>
          <w:rFonts w:ascii="楷体" w:hAnsi="楷体" w:eastAsia="楷体" w:cs="楷体"/>
          <w:b/>
          <w:bCs/>
          <w:color w:val="000000"/>
          <w:sz w:val="32"/>
          <w:szCs w:val="32"/>
        </w:rPr>
      </w:pPr>
      <w:bookmarkStart w:id="51" w:name="_Toc15377210"/>
      <w:r>
        <w:rPr>
          <w:rFonts w:hint="eastAsia" w:ascii="楷体" w:hAnsi="楷体" w:eastAsia="楷体" w:cs="楷体"/>
          <w:b/>
          <w:bCs/>
          <w:color w:val="000000"/>
          <w:sz w:val="32"/>
          <w:szCs w:val="32"/>
        </w:rPr>
        <w:t>（一）一般公共预算财政拨款支出决算总体情况</w:t>
      </w:r>
      <w:bookmarkEnd w:id="51"/>
    </w:p>
    <w:p>
      <w:pPr>
        <w:adjustRightInd w:val="0"/>
        <w:snapToGrid w:val="0"/>
        <w:spacing w:afterLines="100" w:line="600" w:lineRule="exact"/>
        <w:ind w:firstLine="640"/>
        <w:rPr>
          <w:rFonts w:ascii="仿宋" w:hAnsi="仿宋" w:eastAsia="仿宋" w:cs="仿宋"/>
          <w:b/>
          <w:bCs/>
          <w:sz w:val="32"/>
          <w:szCs w:val="32"/>
        </w:rPr>
      </w:pPr>
      <w:r>
        <w:rPr>
          <w:rFonts w:hint="eastAsia" w:ascii="仿宋" w:hAnsi="仿宋" w:eastAsia="仿宋" w:cs="仿宋"/>
          <w:b/>
          <w:bCs/>
          <w:sz w:val="32"/>
          <w:szCs w:val="32"/>
        </w:rPr>
        <w:t>2020年一般公共预算财政拨款支出216.35万元，占本年支出合计的100%。与2019年相比，一般公共预算财政拨款增加34.84万元，增长19.21%。主要变动原因是2020年一次性补发无房职工购房补贴40.17万元。</w:t>
      </w:r>
    </w:p>
    <w:p>
      <w:pPr>
        <w:adjustRightInd w:val="0"/>
        <w:snapToGrid w:val="0"/>
        <w:spacing w:line="360" w:lineRule="auto"/>
        <w:jc w:val="center"/>
        <w:rPr>
          <w:rFonts w:eastAsia="仿宋"/>
          <w:b/>
          <w:bCs/>
          <w:color w:val="000000"/>
          <w:sz w:val="32"/>
          <w:szCs w:val="32"/>
        </w:rPr>
      </w:pPr>
      <w:bookmarkStart w:id="52" w:name="_Toc15377211"/>
      <w:r>
        <w:rPr>
          <w:rFonts w:eastAsia="仿宋"/>
          <w:b/>
          <w:bCs/>
          <w:color w:val="000000"/>
          <w:sz w:val="32"/>
          <w:szCs w:val="32"/>
        </w:rPr>
        <w:drawing>
          <wp:inline distT="0" distB="0" distL="0" distR="0">
            <wp:extent cx="3223895" cy="2771775"/>
            <wp:effectExtent l="0" t="0" r="14605" b="952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3223895" cy="2771775"/>
                    </a:xfrm>
                    <a:prstGeom prst="rect">
                      <a:avLst/>
                    </a:prstGeom>
                    <a:noFill/>
                  </pic:spPr>
                </pic:pic>
              </a:graphicData>
            </a:graphic>
          </wp:inline>
        </w:drawing>
      </w:r>
    </w:p>
    <w:p>
      <w:pPr>
        <w:adjustRightInd w:val="0"/>
        <w:snapToGrid w:val="0"/>
        <w:spacing w:line="600" w:lineRule="exact"/>
        <w:ind w:firstLine="643" w:firstLineChars="200"/>
        <w:outlineLvl w:val="2"/>
        <w:rPr>
          <w:rFonts w:ascii="楷体" w:hAnsi="楷体" w:eastAsia="楷体" w:cs="楷体"/>
          <w:b/>
          <w:bCs/>
          <w:color w:val="000000"/>
          <w:sz w:val="32"/>
          <w:szCs w:val="32"/>
        </w:rPr>
      </w:pPr>
      <w:r>
        <w:rPr>
          <w:rFonts w:hint="eastAsia" w:ascii="楷体" w:hAnsi="楷体" w:eastAsia="楷体" w:cs="楷体"/>
          <w:b/>
          <w:bCs/>
          <w:color w:val="000000"/>
          <w:sz w:val="32"/>
          <w:szCs w:val="32"/>
        </w:rPr>
        <w:t>（二）一般公共预算财政拨款支出决算结构情况</w:t>
      </w:r>
      <w:bookmarkEnd w:id="52"/>
    </w:p>
    <w:p>
      <w:pPr>
        <w:adjustRightInd w:val="0"/>
        <w:snapToGrid w:val="0"/>
        <w:spacing w:line="600" w:lineRule="exact"/>
        <w:ind w:firstLine="643" w:firstLineChars="200"/>
        <w:rPr>
          <w:rFonts w:ascii="仿宋" w:hAnsi="仿宋" w:eastAsia="仿宋" w:cs="仿宋"/>
          <w:b/>
          <w:bCs/>
          <w:sz w:val="32"/>
          <w:szCs w:val="32"/>
        </w:rPr>
      </w:pPr>
      <w:r>
        <w:rPr>
          <w:rFonts w:hint="eastAsia" w:ascii="仿宋" w:hAnsi="仿宋" w:eastAsia="仿宋" w:cs="仿宋"/>
          <w:b/>
          <w:bCs/>
          <w:sz w:val="32"/>
          <w:szCs w:val="32"/>
        </w:rPr>
        <w:t>2020年一般公共预算财政拨款支出216.35万元，主要用于以下方面：一般公共服务（类）支出129.06万元，占59.65%；社会保障和就业（类）支出17.55万元，占8.11%；卫生健康（类）支出8.80万元，占4.07%；住房保障（类）支出60.94万元，占28.17%。</w:t>
      </w:r>
    </w:p>
    <w:p>
      <w:pPr>
        <w:adjustRightInd w:val="0"/>
        <w:snapToGrid w:val="0"/>
        <w:spacing w:line="360" w:lineRule="auto"/>
        <w:ind w:firstLine="643" w:firstLineChars="200"/>
        <w:outlineLvl w:val="2"/>
        <w:rPr>
          <w:rFonts w:ascii="楷体" w:hAnsi="楷体" w:eastAsia="楷体" w:cs="楷体"/>
          <w:b/>
          <w:bCs/>
          <w:color w:val="000000"/>
          <w:sz w:val="32"/>
          <w:szCs w:val="32"/>
        </w:rPr>
      </w:pPr>
      <w:bookmarkStart w:id="53" w:name="_Toc15377212"/>
    </w:p>
    <w:p>
      <w:pPr>
        <w:adjustRightInd w:val="0"/>
        <w:snapToGrid w:val="0"/>
        <w:spacing w:line="360" w:lineRule="auto"/>
        <w:ind w:firstLine="643" w:firstLineChars="200"/>
        <w:jc w:val="center"/>
        <w:outlineLvl w:val="2"/>
        <w:rPr>
          <w:rFonts w:ascii="楷体" w:hAnsi="楷体" w:eastAsia="楷体" w:cs="楷体"/>
          <w:b/>
          <w:bCs/>
          <w:color w:val="000000"/>
          <w:sz w:val="32"/>
          <w:szCs w:val="32"/>
        </w:rPr>
      </w:pPr>
      <w:r>
        <w:rPr>
          <w:rFonts w:ascii="楷体" w:hAnsi="楷体" w:eastAsia="楷体" w:cs="楷体"/>
          <w:b/>
          <w:bCs/>
          <w:color w:val="000000"/>
          <w:sz w:val="32"/>
          <w:szCs w:val="32"/>
        </w:rPr>
        <w:drawing>
          <wp:inline distT="0" distB="0" distL="0" distR="0">
            <wp:extent cx="3289300" cy="2591435"/>
            <wp:effectExtent l="0" t="0" r="6350" b="1841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3289300" cy="2591435"/>
                    </a:xfrm>
                    <a:prstGeom prst="rect">
                      <a:avLst/>
                    </a:prstGeom>
                    <a:noFill/>
                  </pic:spPr>
                </pic:pic>
              </a:graphicData>
            </a:graphic>
          </wp:inline>
        </w:drawing>
      </w:r>
    </w:p>
    <w:p>
      <w:pPr>
        <w:adjustRightInd w:val="0"/>
        <w:snapToGrid w:val="0"/>
        <w:spacing w:line="360" w:lineRule="auto"/>
        <w:ind w:firstLine="643" w:firstLineChars="200"/>
        <w:outlineLvl w:val="2"/>
        <w:rPr>
          <w:rFonts w:ascii="楷体" w:hAnsi="楷体" w:eastAsia="楷体" w:cs="楷体"/>
          <w:b/>
          <w:bCs/>
          <w:color w:val="000000"/>
          <w:sz w:val="32"/>
          <w:szCs w:val="32"/>
        </w:rPr>
      </w:pPr>
      <w:r>
        <w:rPr>
          <w:rFonts w:hint="eastAsia" w:ascii="楷体" w:hAnsi="楷体" w:eastAsia="楷体" w:cs="楷体"/>
          <w:b/>
          <w:bCs/>
          <w:color w:val="000000"/>
          <w:sz w:val="32"/>
          <w:szCs w:val="32"/>
        </w:rPr>
        <w:t>（三）一般公共预算财政拨款支出决算具体情况</w:t>
      </w:r>
      <w:bookmarkEnd w:id="53"/>
      <w:bookmarkStart w:id="54" w:name="_Toc15377213"/>
      <w:bookmarkStart w:id="55" w:name="_Toc15377444"/>
      <w:bookmarkStart w:id="56" w:name="_Toc15378460"/>
    </w:p>
    <w:p>
      <w:pPr>
        <w:adjustRightInd w:val="0"/>
        <w:snapToGrid w:val="0"/>
        <w:spacing w:line="360" w:lineRule="auto"/>
        <w:ind w:firstLine="643" w:firstLineChars="200"/>
        <w:outlineLvl w:val="2"/>
        <w:rPr>
          <w:rFonts w:ascii="仿宋" w:hAnsi="仿宋" w:eastAsia="仿宋" w:cs="仿宋"/>
          <w:b/>
          <w:bCs/>
          <w:sz w:val="32"/>
          <w:szCs w:val="32"/>
        </w:rPr>
      </w:pPr>
      <w:r>
        <w:rPr>
          <w:rFonts w:hint="eastAsia" w:ascii="仿宋" w:hAnsi="仿宋" w:eastAsia="仿宋" w:cs="仿宋"/>
          <w:b/>
          <w:bCs/>
          <w:sz w:val="32"/>
          <w:szCs w:val="32"/>
        </w:rPr>
        <w:t>2020年一般公共预算支出决算数为216.35万元，完成预算90.38%。其中：</w:t>
      </w:r>
      <w:bookmarkEnd w:id="54"/>
      <w:bookmarkEnd w:id="55"/>
      <w:bookmarkEnd w:id="56"/>
    </w:p>
    <w:p>
      <w:pPr>
        <w:numPr>
          <w:ilvl w:val="0"/>
          <w:numId w:val="1"/>
        </w:numPr>
        <w:adjustRightInd w:val="0"/>
        <w:snapToGrid w:val="0"/>
        <w:spacing w:line="600" w:lineRule="exact"/>
        <w:ind w:firstLine="643" w:firstLineChars="200"/>
        <w:rPr>
          <w:rFonts w:ascii="仿宋" w:hAnsi="仿宋" w:eastAsia="仿宋" w:cs="仿宋"/>
          <w:b/>
          <w:bCs/>
          <w:sz w:val="32"/>
          <w:szCs w:val="32"/>
        </w:rPr>
      </w:pPr>
      <w:r>
        <w:rPr>
          <w:rFonts w:hint="eastAsia" w:ascii="仿宋" w:hAnsi="仿宋" w:eastAsia="仿宋" w:cs="仿宋"/>
          <w:b/>
          <w:bCs/>
          <w:sz w:val="32"/>
          <w:szCs w:val="32"/>
        </w:rPr>
        <w:t>一般公共服务支出（类）党委办公厅（室）及相关机构事务（款）事业运行（项）:支出决算为84.06万元，完成预算86.37%。决算数小于预算数的主要原因是2020年9月单位1名人员调出，人员支出减少。</w:t>
      </w:r>
    </w:p>
    <w:p>
      <w:pPr>
        <w:numPr>
          <w:ilvl w:val="0"/>
          <w:numId w:val="1"/>
        </w:numPr>
        <w:adjustRightInd w:val="0"/>
        <w:snapToGrid w:val="0"/>
        <w:spacing w:line="600" w:lineRule="exact"/>
        <w:ind w:firstLine="643" w:firstLineChars="200"/>
        <w:rPr>
          <w:rFonts w:ascii="仿宋" w:hAnsi="仿宋" w:eastAsia="仿宋" w:cs="仿宋"/>
          <w:b/>
          <w:bCs/>
          <w:sz w:val="32"/>
          <w:szCs w:val="32"/>
        </w:rPr>
      </w:pPr>
      <w:r>
        <w:rPr>
          <w:rFonts w:hint="eastAsia" w:ascii="仿宋" w:hAnsi="仿宋" w:eastAsia="仿宋" w:cs="仿宋"/>
          <w:b/>
          <w:bCs/>
          <w:sz w:val="32"/>
          <w:szCs w:val="32"/>
        </w:rPr>
        <w:t>一般公共服务支出（类）党委办公厅（室）及相关机构事务（款）专项业务（项）:支出决算为45万元，完成预算100%。</w:t>
      </w:r>
    </w:p>
    <w:p>
      <w:pPr>
        <w:numPr>
          <w:ilvl w:val="0"/>
          <w:numId w:val="1"/>
        </w:numPr>
        <w:adjustRightInd w:val="0"/>
        <w:snapToGrid w:val="0"/>
        <w:spacing w:line="600" w:lineRule="exact"/>
        <w:ind w:firstLine="643" w:firstLineChars="200"/>
        <w:rPr>
          <w:rFonts w:ascii="仿宋" w:hAnsi="仿宋" w:eastAsia="仿宋" w:cs="仿宋"/>
          <w:b/>
          <w:bCs/>
          <w:sz w:val="32"/>
          <w:szCs w:val="32"/>
        </w:rPr>
      </w:pPr>
      <w:r>
        <w:rPr>
          <w:rFonts w:hint="eastAsia" w:ascii="仿宋" w:hAnsi="仿宋" w:eastAsia="仿宋" w:cs="仿宋"/>
          <w:b/>
          <w:bCs/>
          <w:sz w:val="32"/>
          <w:szCs w:val="32"/>
        </w:rPr>
        <w:t>社会保障和就业支出（类）行政事业单位养老支出（款）机关事业单位基本养老保险缴费支出（项）:支出决算为11.7万元，完成预算90%。决算数小于预算数的主要原因是2020年9月单位1名人员调出，人员支出减少。</w:t>
      </w:r>
    </w:p>
    <w:p>
      <w:pPr>
        <w:numPr>
          <w:ilvl w:val="0"/>
          <w:numId w:val="1"/>
        </w:numPr>
        <w:adjustRightInd w:val="0"/>
        <w:snapToGrid w:val="0"/>
        <w:spacing w:line="600" w:lineRule="exact"/>
        <w:ind w:firstLine="643" w:firstLineChars="200"/>
        <w:rPr>
          <w:rFonts w:ascii="仿宋" w:hAnsi="仿宋" w:eastAsia="仿宋" w:cs="仿宋"/>
          <w:b/>
          <w:bCs/>
          <w:sz w:val="32"/>
          <w:szCs w:val="32"/>
        </w:rPr>
      </w:pPr>
      <w:r>
        <w:rPr>
          <w:rFonts w:hint="eastAsia" w:ascii="仿宋" w:hAnsi="仿宋" w:eastAsia="仿宋" w:cs="仿宋"/>
          <w:b/>
          <w:bCs/>
          <w:sz w:val="32"/>
          <w:szCs w:val="32"/>
        </w:rPr>
        <w:t>社会保障和就业支出（类）行政事业单位养老支出（款）机关事业单位职业年金缴费支出（项）:支出决算为5.85万元，完成预算83.57%。决算数小于预算数的主要原因是2020年9月单位1名人员调出，人员支出减少。</w:t>
      </w:r>
    </w:p>
    <w:p>
      <w:pPr>
        <w:numPr>
          <w:ilvl w:val="0"/>
          <w:numId w:val="1"/>
        </w:numPr>
        <w:adjustRightInd w:val="0"/>
        <w:snapToGrid w:val="0"/>
        <w:spacing w:line="600" w:lineRule="exact"/>
        <w:ind w:firstLine="643" w:firstLineChars="200"/>
        <w:rPr>
          <w:rFonts w:ascii="仿宋" w:hAnsi="仿宋" w:eastAsia="仿宋" w:cs="仿宋"/>
          <w:b/>
          <w:bCs/>
          <w:sz w:val="32"/>
          <w:szCs w:val="32"/>
        </w:rPr>
      </w:pPr>
      <w:r>
        <w:rPr>
          <w:rFonts w:hint="eastAsia" w:ascii="仿宋" w:hAnsi="仿宋" w:eastAsia="仿宋" w:cs="仿宋"/>
          <w:b/>
          <w:bCs/>
          <w:sz w:val="32"/>
          <w:szCs w:val="32"/>
        </w:rPr>
        <w:t>卫生健康支出（类）行政事业单位医疗（款）事业单位医疗（项）:支出决算为8.8万元，完成预算100%。</w:t>
      </w:r>
    </w:p>
    <w:p>
      <w:pPr>
        <w:numPr>
          <w:ilvl w:val="0"/>
          <w:numId w:val="1"/>
        </w:numPr>
        <w:adjustRightInd w:val="0"/>
        <w:snapToGrid w:val="0"/>
        <w:spacing w:line="600" w:lineRule="exact"/>
        <w:ind w:firstLine="643" w:firstLineChars="200"/>
        <w:rPr>
          <w:rFonts w:ascii="仿宋" w:hAnsi="仿宋" w:eastAsia="仿宋" w:cs="仿宋"/>
          <w:b/>
          <w:bCs/>
          <w:sz w:val="32"/>
          <w:szCs w:val="32"/>
        </w:rPr>
      </w:pPr>
      <w:r>
        <w:rPr>
          <w:rFonts w:hint="eastAsia" w:ascii="仿宋" w:hAnsi="仿宋" w:eastAsia="仿宋" w:cs="仿宋"/>
          <w:b/>
          <w:bCs/>
          <w:sz w:val="32"/>
          <w:szCs w:val="32"/>
        </w:rPr>
        <w:t>住房保障支出（类）住房改革支出（款）住房公积金（项）:支出决算为10.20万元，完成预算85%。决算数小于预算数的主要原因是2020年9月单位1名人员调出，人员支出减少。</w:t>
      </w:r>
    </w:p>
    <w:p>
      <w:pPr>
        <w:numPr>
          <w:ilvl w:val="0"/>
          <w:numId w:val="1"/>
        </w:numPr>
        <w:adjustRightInd w:val="0"/>
        <w:snapToGrid w:val="0"/>
        <w:spacing w:line="600" w:lineRule="exact"/>
        <w:ind w:firstLine="643" w:firstLineChars="200"/>
        <w:rPr>
          <w:rFonts w:ascii="仿宋" w:hAnsi="仿宋" w:eastAsia="仿宋" w:cs="仿宋"/>
          <w:b/>
          <w:bCs/>
          <w:color w:val="000000"/>
          <w:sz w:val="32"/>
          <w:szCs w:val="32"/>
        </w:rPr>
      </w:pPr>
      <w:r>
        <w:rPr>
          <w:rFonts w:hint="eastAsia" w:ascii="仿宋" w:hAnsi="仿宋" w:eastAsia="仿宋" w:cs="仿宋"/>
          <w:b/>
          <w:bCs/>
          <w:sz w:val="32"/>
          <w:szCs w:val="32"/>
        </w:rPr>
        <w:t>住房保障支出（类）住房改革支出（款）购房补贴（项）:支出决算为50.74万元，完成预算93.53%。决算数小于预算数的主要原因是计算口径有变化。</w:t>
      </w:r>
    </w:p>
    <w:p>
      <w:pPr>
        <w:pStyle w:val="4"/>
        <w:adjustRightInd w:val="0"/>
        <w:snapToGrid w:val="0"/>
        <w:spacing w:before="0" w:after="0" w:line="600" w:lineRule="exact"/>
        <w:ind w:firstLine="643" w:firstLineChars="200"/>
        <w:rPr>
          <w:rFonts w:eastAsia="黑体"/>
          <w:b w:val="0"/>
          <w:bCs w:val="0"/>
          <w:color w:val="000000"/>
        </w:rPr>
      </w:pPr>
      <w:bookmarkStart w:id="57" w:name="_Toc15377214"/>
      <w:bookmarkStart w:id="58" w:name="_Toc31464"/>
      <w:bookmarkStart w:id="59" w:name="_Toc29464"/>
      <w:r>
        <w:rPr>
          <w:rFonts w:ascii="Times New Roman" w:hAnsi="Times New Roman" w:eastAsia="黑体" w:cs="Times New Roman"/>
          <w:color w:val="000000"/>
        </w:rPr>
        <w:t>六、一般公共预算财政拨款基本支出决算情况说明</w:t>
      </w:r>
      <w:bookmarkEnd w:id="57"/>
      <w:bookmarkEnd w:id="58"/>
      <w:bookmarkEnd w:id="59"/>
      <w:r>
        <w:rPr>
          <w:b w:val="0"/>
          <w:bCs w:val="0"/>
          <w:color w:val="000000"/>
        </w:rPr>
        <w:tab/>
      </w:r>
    </w:p>
    <w:p>
      <w:pPr>
        <w:adjustRightInd w:val="0"/>
        <w:snapToGrid w:val="0"/>
        <w:spacing w:line="600" w:lineRule="exact"/>
        <w:ind w:firstLine="643" w:firstLineChars="200"/>
        <w:rPr>
          <w:rFonts w:ascii="仿宋" w:hAnsi="仿宋" w:eastAsia="仿宋" w:cs="仿宋"/>
          <w:b/>
          <w:bCs/>
          <w:sz w:val="32"/>
          <w:szCs w:val="32"/>
        </w:rPr>
      </w:pPr>
      <w:r>
        <w:rPr>
          <w:rFonts w:hint="eastAsia" w:ascii="仿宋" w:hAnsi="仿宋" w:eastAsia="仿宋" w:cs="仿宋"/>
          <w:b/>
          <w:bCs/>
          <w:sz w:val="32"/>
          <w:szCs w:val="32"/>
        </w:rPr>
        <w:t>2020年一般公共预算财政拨款基本支出171.35万元，其中：</w:t>
      </w:r>
    </w:p>
    <w:p>
      <w:pPr>
        <w:numPr>
          <w:ilvl w:val="0"/>
          <w:numId w:val="2"/>
        </w:numPr>
        <w:adjustRightInd w:val="0"/>
        <w:snapToGrid w:val="0"/>
        <w:spacing w:line="600" w:lineRule="exact"/>
        <w:ind w:firstLine="643" w:firstLineChars="200"/>
        <w:rPr>
          <w:rFonts w:ascii="仿宋" w:hAnsi="仿宋" w:eastAsia="仿宋" w:cs="仿宋"/>
          <w:b/>
          <w:bCs/>
          <w:sz w:val="32"/>
          <w:szCs w:val="32"/>
        </w:rPr>
      </w:pPr>
      <w:r>
        <w:rPr>
          <w:rFonts w:hint="eastAsia" w:ascii="仿宋" w:hAnsi="仿宋" w:eastAsia="仿宋" w:cs="仿宋"/>
          <w:b/>
          <w:bCs/>
          <w:sz w:val="32"/>
          <w:szCs w:val="32"/>
        </w:rPr>
        <w:t>人员经费151.01万元，包括：基本工资、津贴补贴、绩效工资、机关事业单位基本养老保险缴费、职业年金缴费、职工基本医疗保险缴费、其他社会保障缴费、住房公积金。</w:t>
      </w:r>
      <w:r>
        <w:rPr>
          <w:rFonts w:hint="eastAsia" w:ascii="仿宋" w:hAnsi="仿宋" w:eastAsia="仿宋" w:cs="仿宋"/>
          <w:b/>
          <w:bCs/>
          <w:sz w:val="32"/>
          <w:szCs w:val="32"/>
        </w:rPr>
        <w:br w:type="textWrapping"/>
      </w:r>
      <w:r>
        <w:rPr>
          <w:rFonts w:hint="eastAsia" w:ascii="仿宋" w:hAnsi="仿宋" w:eastAsia="仿宋" w:cs="仿宋"/>
          <w:b/>
          <w:bCs/>
          <w:sz w:val="32"/>
          <w:szCs w:val="32"/>
        </w:rPr>
        <w:t xml:space="preserve">    2. 公用经费20.34万元，主要包括：办公费、印刷费、手续费、差旅费、维修（护）费、劳务费、工会经费、福利费、其他商品和服务支出。</w:t>
      </w:r>
    </w:p>
    <w:p>
      <w:pPr>
        <w:pStyle w:val="4"/>
        <w:adjustRightInd w:val="0"/>
        <w:snapToGrid w:val="0"/>
        <w:spacing w:before="0" w:after="0" w:line="600" w:lineRule="exact"/>
        <w:ind w:firstLine="643" w:firstLineChars="200"/>
        <w:rPr>
          <w:rFonts w:ascii="Times New Roman" w:hAnsi="Times New Roman" w:eastAsia="黑体" w:cs="Times New Roman"/>
          <w:color w:val="000000"/>
        </w:rPr>
      </w:pPr>
      <w:bookmarkStart w:id="60" w:name="_Toc15377215"/>
      <w:bookmarkStart w:id="61" w:name="_Toc28752"/>
      <w:bookmarkStart w:id="62" w:name="_Toc14376"/>
      <w:r>
        <w:rPr>
          <w:rFonts w:ascii="Times New Roman" w:hAnsi="Times New Roman" w:eastAsia="黑体" w:cs="Times New Roman"/>
          <w:color w:val="000000"/>
        </w:rPr>
        <w:t>七、“三公”经费财政拨款支出决算情况说明</w:t>
      </w:r>
      <w:bookmarkEnd w:id="60"/>
      <w:bookmarkEnd w:id="61"/>
      <w:bookmarkEnd w:id="62"/>
    </w:p>
    <w:p>
      <w:pPr>
        <w:adjustRightInd w:val="0"/>
        <w:snapToGrid w:val="0"/>
        <w:spacing w:line="600" w:lineRule="exact"/>
        <w:ind w:firstLine="640"/>
        <w:outlineLvl w:val="2"/>
        <w:rPr>
          <w:rFonts w:ascii="楷体" w:hAnsi="楷体" w:eastAsia="楷体" w:cs="楷体"/>
          <w:b/>
          <w:bCs/>
          <w:color w:val="000000"/>
          <w:sz w:val="32"/>
          <w:szCs w:val="32"/>
        </w:rPr>
      </w:pPr>
      <w:bookmarkStart w:id="63" w:name="_Toc15377216"/>
      <w:r>
        <w:rPr>
          <w:rFonts w:hint="eastAsia" w:ascii="楷体" w:hAnsi="楷体" w:eastAsia="楷体" w:cs="楷体"/>
          <w:b/>
          <w:bCs/>
          <w:color w:val="000000"/>
          <w:sz w:val="32"/>
          <w:szCs w:val="32"/>
        </w:rPr>
        <w:t>（一）“三公”经费财政拨款支出决算总体情况说明</w:t>
      </w:r>
      <w:bookmarkEnd w:id="63"/>
    </w:p>
    <w:p>
      <w:pPr>
        <w:adjustRightInd w:val="0"/>
        <w:snapToGrid w:val="0"/>
        <w:spacing w:line="600" w:lineRule="exact"/>
        <w:ind w:firstLine="643" w:firstLineChars="200"/>
        <w:rPr>
          <w:rFonts w:ascii="仿宋" w:hAnsi="仿宋" w:eastAsia="仿宋" w:cs="仿宋"/>
          <w:b/>
          <w:bCs/>
          <w:sz w:val="32"/>
          <w:szCs w:val="32"/>
        </w:rPr>
      </w:pPr>
      <w:r>
        <w:rPr>
          <w:rFonts w:hint="eastAsia" w:ascii="仿宋" w:hAnsi="仿宋" w:eastAsia="仿宋" w:cs="仿宋"/>
          <w:b/>
          <w:bCs/>
          <w:sz w:val="32"/>
          <w:szCs w:val="32"/>
        </w:rPr>
        <w:t>2020年“三公”经费财政拨款支出决算为0万元。与上年相比无变化，主要原因是本单位未安排“三公”经费预算。</w:t>
      </w:r>
    </w:p>
    <w:p>
      <w:pPr>
        <w:adjustRightInd w:val="0"/>
        <w:snapToGrid w:val="0"/>
        <w:spacing w:line="600" w:lineRule="exact"/>
        <w:ind w:firstLine="640"/>
        <w:outlineLvl w:val="2"/>
        <w:rPr>
          <w:rFonts w:ascii="楷体" w:hAnsi="楷体" w:eastAsia="楷体" w:cs="楷体"/>
          <w:b/>
          <w:bCs/>
          <w:color w:val="000000"/>
          <w:sz w:val="32"/>
          <w:szCs w:val="32"/>
        </w:rPr>
      </w:pPr>
      <w:bookmarkStart w:id="64" w:name="_Toc15377217"/>
      <w:r>
        <w:rPr>
          <w:rFonts w:hint="eastAsia" w:ascii="楷体" w:hAnsi="楷体" w:eastAsia="楷体" w:cs="楷体"/>
          <w:b/>
          <w:bCs/>
          <w:color w:val="000000"/>
          <w:sz w:val="32"/>
          <w:szCs w:val="32"/>
        </w:rPr>
        <w:t>（二）“三公”经费财政拨款支出决算具体情况说明</w:t>
      </w:r>
      <w:bookmarkEnd w:id="64"/>
    </w:p>
    <w:p>
      <w:pPr>
        <w:adjustRightInd w:val="0"/>
        <w:snapToGrid w:val="0"/>
        <w:spacing w:afterLines="86" w:line="600" w:lineRule="exact"/>
        <w:ind w:firstLine="643" w:firstLineChars="200"/>
        <w:rPr>
          <w:rFonts w:eastAsia="仿宋_GB2312"/>
          <w:b/>
          <w:bCs/>
          <w:sz w:val="32"/>
          <w:szCs w:val="32"/>
        </w:rPr>
      </w:pPr>
      <w:r>
        <w:rPr>
          <w:rFonts w:hint="eastAsia" w:ascii="仿宋" w:hAnsi="仿宋" w:eastAsia="仿宋" w:cs="仿宋"/>
          <w:b/>
          <w:bCs/>
          <w:sz w:val="32"/>
          <w:szCs w:val="32"/>
        </w:rPr>
        <w:t>2020年“三公”经费财政拨款支出决算中，因公出国（境）经费支出决算0万元，占0%；公务用车购置及运行维护费支出决算0万元，占0%；公务接待费支出决算0万元，占0%。</w:t>
      </w:r>
    </w:p>
    <w:p>
      <w:pPr>
        <w:numPr>
          <w:ilvl w:val="0"/>
          <w:numId w:val="3"/>
        </w:numPr>
        <w:adjustRightInd w:val="0"/>
        <w:snapToGrid w:val="0"/>
        <w:spacing w:line="600" w:lineRule="exact"/>
        <w:ind w:firstLine="643" w:firstLineChars="200"/>
        <w:rPr>
          <w:rFonts w:ascii="仿宋" w:hAnsi="仿宋" w:eastAsia="仿宋" w:cs="仿宋"/>
          <w:b/>
          <w:bCs/>
          <w:sz w:val="32"/>
          <w:szCs w:val="32"/>
        </w:rPr>
      </w:pPr>
      <w:r>
        <w:rPr>
          <w:rFonts w:hint="eastAsia" w:ascii="仿宋" w:hAnsi="仿宋" w:eastAsia="仿宋" w:cs="仿宋"/>
          <w:b/>
          <w:bCs/>
          <w:sz w:val="32"/>
          <w:szCs w:val="32"/>
        </w:rPr>
        <w:t>因公出国（境）经费支出0万元。与上年相比无变化，主要原因是本单位未安排因公出国（境）经费预算。</w:t>
      </w:r>
    </w:p>
    <w:p>
      <w:pPr>
        <w:numPr>
          <w:ilvl w:val="0"/>
          <w:numId w:val="3"/>
        </w:numPr>
        <w:adjustRightInd w:val="0"/>
        <w:snapToGrid w:val="0"/>
        <w:spacing w:line="600" w:lineRule="exact"/>
        <w:ind w:firstLine="643" w:firstLineChars="200"/>
        <w:rPr>
          <w:rFonts w:ascii="仿宋" w:hAnsi="仿宋" w:eastAsia="仿宋" w:cs="仿宋"/>
          <w:b/>
          <w:bCs/>
          <w:sz w:val="32"/>
          <w:szCs w:val="32"/>
        </w:rPr>
      </w:pPr>
      <w:r>
        <w:rPr>
          <w:rFonts w:hint="eastAsia" w:ascii="仿宋" w:hAnsi="仿宋" w:eastAsia="仿宋" w:cs="仿宋"/>
          <w:b/>
          <w:bCs/>
          <w:sz w:val="32"/>
          <w:szCs w:val="32"/>
        </w:rPr>
        <w:t>公务用车购置及运行维护费支出0万元。与上年相比无变化，主要原因是本单位未安排公务用车购置及运行维护费预算。</w:t>
      </w:r>
    </w:p>
    <w:p>
      <w:pPr>
        <w:spacing w:line="580" w:lineRule="exact"/>
        <w:ind w:firstLine="640"/>
        <w:rPr>
          <w:rFonts w:ascii="仿宋" w:hAnsi="仿宋" w:eastAsia="仿宋" w:cs="仿宋"/>
          <w:b/>
          <w:bCs/>
          <w:sz w:val="32"/>
          <w:szCs w:val="32"/>
        </w:rPr>
      </w:pPr>
      <w:r>
        <w:rPr>
          <w:rFonts w:hint="eastAsia" w:ascii="仿宋" w:hAnsi="仿宋" w:eastAsia="仿宋" w:cs="仿宋"/>
          <w:b/>
          <w:bCs/>
          <w:sz w:val="32"/>
          <w:szCs w:val="32"/>
        </w:rPr>
        <w:t>其中：公务用车购置支出0万元。截至2020年12月底，单位共有公务用车0辆。公务用车运行维护费支出0万元。</w:t>
      </w:r>
    </w:p>
    <w:p>
      <w:pPr>
        <w:numPr>
          <w:ilvl w:val="0"/>
          <w:numId w:val="3"/>
        </w:numPr>
        <w:adjustRightInd w:val="0"/>
        <w:snapToGrid w:val="0"/>
        <w:spacing w:line="600" w:lineRule="exact"/>
        <w:ind w:firstLine="643" w:firstLineChars="200"/>
        <w:rPr>
          <w:rFonts w:ascii="仿宋" w:hAnsi="仿宋" w:eastAsia="仿宋" w:cs="仿宋"/>
          <w:b/>
          <w:bCs/>
          <w:sz w:val="32"/>
          <w:szCs w:val="32"/>
        </w:rPr>
      </w:pPr>
      <w:r>
        <w:rPr>
          <w:rFonts w:hint="eastAsia" w:ascii="仿宋" w:hAnsi="仿宋" w:eastAsia="仿宋" w:cs="仿宋"/>
          <w:b/>
          <w:bCs/>
          <w:sz w:val="32"/>
          <w:szCs w:val="32"/>
        </w:rPr>
        <w:t>公务接待费支出0万元。与上年相比无变化，主要原因是本单位未安排公务接待费预算。</w:t>
      </w:r>
    </w:p>
    <w:p>
      <w:pPr>
        <w:pStyle w:val="4"/>
        <w:adjustRightInd w:val="0"/>
        <w:snapToGrid w:val="0"/>
        <w:spacing w:before="0" w:after="0" w:line="600" w:lineRule="exact"/>
        <w:ind w:firstLine="643" w:firstLineChars="200"/>
        <w:rPr>
          <w:rFonts w:ascii="Times New Roman" w:hAnsi="Times New Roman" w:eastAsia="黑体" w:cs="Times New Roman"/>
          <w:color w:val="000000"/>
        </w:rPr>
      </w:pPr>
      <w:bookmarkStart w:id="65" w:name="_Toc25244"/>
      <w:bookmarkStart w:id="66" w:name="_Toc15377218"/>
      <w:bookmarkStart w:id="67" w:name="_Toc19762"/>
      <w:r>
        <w:rPr>
          <w:rFonts w:ascii="Times New Roman" w:hAnsi="Times New Roman" w:eastAsia="黑体" w:cs="Times New Roman"/>
          <w:color w:val="000000"/>
        </w:rPr>
        <w:t>八、政府性基金预算支出决算情况说明</w:t>
      </w:r>
      <w:bookmarkEnd w:id="65"/>
      <w:bookmarkEnd w:id="66"/>
      <w:bookmarkEnd w:id="67"/>
    </w:p>
    <w:p>
      <w:pPr>
        <w:adjustRightInd w:val="0"/>
        <w:snapToGrid w:val="0"/>
        <w:spacing w:line="600" w:lineRule="exact"/>
        <w:ind w:firstLine="640"/>
        <w:rPr>
          <w:rFonts w:ascii="仿宋" w:hAnsi="仿宋" w:eastAsia="仿宋" w:cs="仿宋"/>
          <w:b/>
          <w:bCs/>
          <w:color w:val="000000"/>
          <w:sz w:val="32"/>
          <w:szCs w:val="32"/>
        </w:rPr>
      </w:pPr>
      <w:r>
        <w:rPr>
          <w:rFonts w:hint="eastAsia" w:ascii="仿宋" w:hAnsi="仿宋" w:eastAsia="仿宋" w:cs="仿宋"/>
          <w:b/>
          <w:bCs/>
          <w:color w:val="000000"/>
          <w:sz w:val="32"/>
          <w:szCs w:val="32"/>
        </w:rPr>
        <w:t>2020年政府性基金预算拨款支出0万元。</w:t>
      </w:r>
    </w:p>
    <w:p>
      <w:pPr>
        <w:pStyle w:val="4"/>
        <w:adjustRightInd w:val="0"/>
        <w:snapToGrid w:val="0"/>
        <w:spacing w:before="0" w:after="0" w:line="600" w:lineRule="exact"/>
        <w:ind w:firstLine="643" w:firstLineChars="200"/>
        <w:rPr>
          <w:rFonts w:ascii="Times New Roman" w:hAnsi="Times New Roman" w:eastAsia="黑体" w:cs="Times New Roman"/>
          <w:color w:val="000000"/>
        </w:rPr>
      </w:pPr>
      <w:bookmarkStart w:id="68" w:name="_Toc8367"/>
      <w:bookmarkStart w:id="69" w:name="_Toc15377219"/>
      <w:bookmarkStart w:id="70" w:name="_Toc24327"/>
      <w:r>
        <w:rPr>
          <w:rFonts w:hint="eastAsia" w:ascii="Times New Roman" w:hAnsi="Times New Roman" w:eastAsia="黑体" w:cs="Times New Roman"/>
          <w:color w:val="000000"/>
        </w:rPr>
        <w:t>九、</w:t>
      </w:r>
      <w:r>
        <w:rPr>
          <w:rFonts w:ascii="Times New Roman" w:hAnsi="Times New Roman" w:eastAsia="黑体" w:cs="Times New Roman"/>
          <w:color w:val="000000"/>
        </w:rPr>
        <w:t>国有资本经营预算支出决算情况说明</w:t>
      </w:r>
      <w:bookmarkEnd w:id="68"/>
      <w:bookmarkEnd w:id="69"/>
      <w:bookmarkEnd w:id="70"/>
    </w:p>
    <w:p>
      <w:pPr>
        <w:adjustRightInd w:val="0"/>
        <w:snapToGrid w:val="0"/>
        <w:spacing w:line="600" w:lineRule="exact"/>
        <w:ind w:firstLine="640"/>
        <w:rPr>
          <w:rFonts w:ascii="仿宋" w:hAnsi="仿宋" w:eastAsia="仿宋" w:cs="仿宋"/>
          <w:b/>
          <w:bCs/>
          <w:color w:val="000000"/>
          <w:sz w:val="32"/>
          <w:szCs w:val="32"/>
        </w:rPr>
      </w:pPr>
      <w:r>
        <w:rPr>
          <w:rFonts w:hint="eastAsia" w:ascii="仿宋" w:hAnsi="仿宋" w:eastAsia="仿宋" w:cs="仿宋"/>
          <w:b/>
          <w:bCs/>
          <w:color w:val="000000"/>
          <w:sz w:val="32"/>
          <w:szCs w:val="32"/>
        </w:rPr>
        <w:t>2020年国有资本经营预算拨款支出0万元。</w:t>
      </w:r>
    </w:p>
    <w:p>
      <w:pPr>
        <w:pStyle w:val="4"/>
        <w:adjustRightInd w:val="0"/>
        <w:snapToGrid w:val="0"/>
        <w:spacing w:before="0" w:after="0" w:line="600" w:lineRule="exact"/>
        <w:ind w:firstLine="643" w:firstLineChars="200"/>
        <w:rPr>
          <w:rFonts w:ascii="Times New Roman" w:hAnsi="Times New Roman" w:eastAsia="黑体" w:cs="Times New Roman"/>
          <w:color w:val="000000"/>
        </w:rPr>
      </w:pPr>
      <w:bookmarkStart w:id="71" w:name="_Toc17278"/>
      <w:bookmarkStart w:id="72" w:name="_Toc31836"/>
      <w:r>
        <w:rPr>
          <w:rFonts w:hint="eastAsia" w:ascii="Times New Roman" w:hAnsi="Times New Roman" w:eastAsia="黑体" w:cs="Times New Roman"/>
          <w:color w:val="000000"/>
        </w:rPr>
        <w:t>十、其他重要事项的情况</w:t>
      </w:r>
      <w:r>
        <w:rPr>
          <w:rFonts w:ascii="Times New Roman" w:hAnsi="Times New Roman" w:eastAsia="黑体" w:cs="Times New Roman"/>
          <w:color w:val="000000"/>
        </w:rPr>
        <w:t>说明</w:t>
      </w:r>
      <w:bookmarkEnd w:id="71"/>
    </w:p>
    <w:bookmarkEnd w:id="72"/>
    <w:p>
      <w:pPr>
        <w:numPr>
          <w:ilvl w:val="0"/>
          <w:numId w:val="4"/>
        </w:numPr>
        <w:adjustRightInd w:val="0"/>
        <w:snapToGrid w:val="0"/>
        <w:spacing w:line="600" w:lineRule="exact"/>
        <w:ind w:firstLine="643" w:firstLineChars="200"/>
        <w:rPr>
          <w:rFonts w:ascii="楷体" w:hAnsi="楷体" w:eastAsia="楷体" w:cs="楷体"/>
          <w:b/>
          <w:bCs/>
          <w:sz w:val="32"/>
          <w:szCs w:val="32"/>
        </w:rPr>
      </w:pPr>
      <w:r>
        <w:rPr>
          <w:rFonts w:hint="eastAsia" w:ascii="楷体" w:hAnsi="楷体" w:eastAsia="楷体" w:cs="楷体"/>
          <w:b/>
          <w:color w:val="000000"/>
          <w:sz w:val="32"/>
          <w:szCs w:val="32"/>
        </w:rPr>
        <w:t>机关运行经费支出情况</w:t>
      </w:r>
    </w:p>
    <w:p>
      <w:pPr>
        <w:adjustRightInd w:val="0"/>
        <w:snapToGrid w:val="0"/>
        <w:spacing w:line="600" w:lineRule="exact"/>
        <w:ind w:firstLine="640"/>
        <w:rPr>
          <w:rFonts w:ascii="楷体" w:hAnsi="楷体" w:eastAsia="楷体" w:cs="楷体"/>
          <w:b/>
          <w:bCs/>
          <w:sz w:val="32"/>
          <w:szCs w:val="32"/>
        </w:rPr>
      </w:pPr>
      <w:r>
        <w:rPr>
          <w:rFonts w:hint="eastAsia" w:ascii="仿宋" w:hAnsi="仿宋" w:eastAsia="仿宋" w:cs="仿宋"/>
          <w:b/>
          <w:bCs/>
          <w:color w:val="000000"/>
          <w:sz w:val="32"/>
          <w:szCs w:val="32"/>
        </w:rPr>
        <w:t>中心非行政单位，2020年机关运行经费支出0万元</w:t>
      </w:r>
      <w:r>
        <w:rPr>
          <w:rFonts w:hint="eastAsia" w:ascii="仿宋" w:hAnsi="仿宋" w:eastAsia="仿宋" w:cs="仿宋"/>
          <w:b/>
          <w:sz w:val="32"/>
          <w:szCs w:val="32"/>
        </w:rPr>
        <w:t>。</w:t>
      </w:r>
    </w:p>
    <w:p>
      <w:pPr>
        <w:numPr>
          <w:ilvl w:val="0"/>
          <w:numId w:val="4"/>
        </w:numPr>
        <w:adjustRightInd w:val="0"/>
        <w:snapToGrid w:val="0"/>
        <w:spacing w:line="600" w:lineRule="exact"/>
        <w:ind w:firstLine="643" w:firstLineChars="200"/>
        <w:rPr>
          <w:rFonts w:ascii="楷体" w:hAnsi="楷体" w:eastAsia="楷体" w:cs="楷体"/>
          <w:b/>
          <w:bCs/>
          <w:sz w:val="32"/>
          <w:szCs w:val="32"/>
        </w:rPr>
      </w:pPr>
      <w:r>
        <w:rPr>
          <w:rFonts w:hint="eastAsia" w:ascii="楷体" w:hAnsi="楷体" w:eastAsia="楷体" w:cs="楷体"/>
          <w:b/>
          <w:color w:val="000000"/>
          <w:sz w:val="32"/>
          <w:szCs w:val="32"/>
        </w:rPr>
        <w:t>政府采购支出情况</w:t>
      </w:r>
    </w:p>
    <w:p>
      <w:pPr>
        <w:adjustRightInd w:val="0"/>
        <w:snapToGrid w:val="0"/>
        <w:spacing w:line="600" w:lineRule="exact"/>
        <w:ind w:firstLine="640"/>
        <w:rPr>
          <w:rFonts w:ascii="楷体" w:hAnsi="楷体" w:eastAsia="楷体" w:cs="楷体"/>
          <w:b/>
          <w:bCs/>
          <w:sz w:val="32"/>
          <w:szCs w:val="32"/>
        </w:rPr>
      </w:pPr>
      <w:r>
        <w:rPr>
          <w:rFonts w:hint="eastAsia" w:ascii="仿宋" w:hAnsi="仿宋" w:eastAsia="仿宋" w:cs="仿宋"/>
          <w:b/>
          <w:bCs/>
          <w:color w:val="000000"/>
          <w:sz w:val="32"/>
          <w:szCs w:val="32"/>
        </w:rPr>
        <w:t>2020年，政府采购支出总额0万元，其中：政府采购货物支出0万元、政府采购工程支出0万元、政府采购服务支出0万元。</w:t>
      </w:r>
    </w:p>
    <w:p>
      <w:pPr>
        <w:numPr>
          <w:ilvl w:val="0"/>
          <w:numId w:val="4"/>
        </w:numPr>
        <w:adjustRightInd w:val="0"/>
        <w:snapToGrid w:val="0"/>
        <w:spacing w:line="600" w:lineRule="exact"/>
        <w:ind w:firstLine="643" w:firstLineChars="200"/>
        <w:rPr>
          <w:rFonts w:ascii="楷体" w:hAnsi="楷体" w:eastAsia="楷体" w:cs="楷体"/>
          <w:b/>
          <w:color w:val="000000"/>
          <w:sz w:val="32"/>
          <w:szCs w:val="32"/>
        </w:rPr>
      </w:pPr>
      <w:r>
        <w:rPr>
          <w:rFonts w:hint="eastAsia" w:ascii="楷体" w:hAnsi="楷体" w:eastAsia="楷体" w:cs="楷体"/>
          <w:b/>
          <w:color w:val="000000"/>
          <w:sz w:val="32"/>
          <w:szCs w:val="32"/>
        </w:rPr>
        <w:t>国有资产占有使用情况</w:t>
      </w:r>
    </w:p>
    <w:p>
      <w:pPr>
        <w:adjustRightInd w:val="0"/>
        <w:snapToGrid w:val="0"/>
        <w:spacing w:line="600" w:lineRule="exact"/>
        <w:ind w:firstLine="640"/>
        <w:rPr>
          <w:rFonts w:ascii="仿宋" w:hAnsi="仿宋" w:eastAsia="仿宋" w:cs="仿宋"/>
          <w:b/>
          <w:bCs/>
          <w:color w:val="000000"/>
          <w:sz w:val="32"/>
          <w:szCs w:val="32"/>
        </w:rPr>
      </w:pPr>
      <w:r>
        <w:rPr>
          <w:rFonts w:hint="eastAsia" w:ascii="仿宋" w:hAnsi="仿宋" w:eastAsia="仿宋" w:cs="仿宋"/>
          <w:b/>
          <w:bCs/>
          <w:color w:val="000000"/>
          <w:sz w:val="32"/>
          <w:szCs w:val="32"/>
        </w:rPr>
        <w:t>截至2020年12月31日，共有车辆0辆。单价50万元以上通用设备0台（套），单价100万元以上专用设备0台（套）。</w:t>
      </w:r>
    </w:p>
    <w:p>
      <w:pPr>
        <w:numPr>
          <w:ilvl w:val="0"/>
          <w:numId w:val="4"/>
        </w:numPr>
        <w:adjustRightInd w:val="0"/>
        <w:snapToGrid w:val="0"/>
        <w:spacing w:line="600" w:lineRule="exact"/>
        <w:ind w:firstLine="643" w:firstLineChars="200"/>
        <w:rPr>
          <w:rFonts w:ascii="楷体" w:hAnsi="楷体" w:eastAsia="楷体" w:cs="楷体"/>
          <w:b/>
          <w:bCs/>
          <w:sz w:val="32"/>
          <w:szCs w:val="32"/>
        </w:rPr>
      </w:pPr>
      <w:r>
        <w:rPr>
          <w:rFonts w:hint="eastAsia" w:ascii="楷体" w:hAnsi="楷体" w:eastAsia="楷体" w:cs="楷体"/>
          <w:b/>
          <w:bCs/>
          <w:sz w:val="32"/>
          <w:szCs w:val="32"/>
        </w:rPr>
        <w:t>预算绩效管理情况</w:t>
      </w:r>
    </w:p>
    <w:p>
      <w:pPr>
        <w:adjustRightInd w:val="0"/>
        <w:snapToGrid w:val="0"/>
        <w:spacing w:line="600" w:lineRule="exact"/>
        <w:ind w:firstLine="643" w:firstLineChars="200"/>
        <w:rPr>
          <w:rFonts w:ascii="仿宋" w:hAnsi="仿宋" w:eastAsia="仿宋" w:cs="仿宋"/>
          <w:b/>
          <w:bCs/>
          <w:sz w:val="32"/>
          <w:szCs w:val="32"/>
        </w:rPr>
      </w:pPr>
      <w:r>
        <w:rPr>
          <w:rFonts w:hint="eastAsia" w:ascii="仿宋" w:hAnsi="仿宋" w:eastAsia="仿宋" w:cs="仿宋"/>
          <w:b/>
          <w:bCs/>
          <w:sz w:val="32"/>
          <w:szCs w:val="32"/>
        </w:rPr>
        <w:t>根据预算绩效管理要求，本单位在年初预算编制阶段，组织对文稿信息编审费项目开展了预算事前绩效评估，对1个项目编制了绩效目标，预算执行过程中，选取1个项目开展绩效监控，年终执行完毕后，对1个项目开展了绩效目标完成情况自评。</w:t>
      </w:r>
    </w:p>
    <w:p>
      <w:pPr>
        <w:adjustRightInd w:val="0"/>
        <w:snapToGrid w:val="0"/>
        <w:spacing w:line="600" w:lineRule="exact"/>
        <w:ind w:firstLine="643" w:firstLineChars="200"/>
        <w:rPr>
          <w:rFonts w:ascii="仿宋" w:hAnsi="仿宋" w:eastAsia="仿宋" w:cs="仿宋"/>
          <w:b/>
          <w:bCs/>
          <w:sz w:val="32"/>
          <w:szCs w:val="32"/>
        </w:rPr>
      </w:pPr>
      <w:r>
        <w:rPr>
          <w:rFonts w:hint="eastAsia" w:ascii="仿宋" w:hAnsi="仿宋" w:eastAsia="仿宋" w:cs="仿宋"/>
          <w:b/>
          <w:bCs/>
          <w:sz w:val="32"/>
          <w:szCs w:val="32"/>
        </w:rPr>
        <w:t>本单位按要求对2020年整体支出开展绩效自评，从评价情况来看，整体绩效目标完成情况良好。本单位还自行组织了1个项目支出绩效评价，从评价情况来看项目绩效目标完成情况良好，完成预算的100%。</w:t>
      </w:r>
    </w:p>
    <w:p>
      <w:pPr>
        <w:adjustRightInd w:val="0"/>
        <w:snapToGrid w:val="0"/>
        <w:spacing w:line="600" w:lineRule="exact"/>
        <w:ind w:firstLine="643" w:firstLineChars="200"/>
        <w:rPr>
          <w:rFonts w:ascii="仿宋" w:hAnsi="仿宋" w:eastAsia="仿宋" w:cs="仿宋"/>
          <w:b/>
          <w:bCs/>
          <w:sz w:val="32"/>
          <w:szCs w:val="32"/>
        </w:rPr>
      </w:pPr>
      <w:r>
        <w:rPr>
          <w:rFonts w:hint="eastAsia" w:ascii="仿宋" w:hAnsi="仿宋" w:eastAsia="仿宋" w:cs="仿宋"/>
          <w:b/>
          <w:bCs/>
          <w:sz w:val="32"/>
          <w:szCs w:val="32"/>
        </w:rPr>
        <w:t>1.项目绩效目标完成情况。</w:t>
      </w:r>
    </w:p>
    <w:p>
      <w:pPr>
        <w:adjustRightInd w:val="0"/>
        <w:snapToGrid w:val="0"/>
        <w:spacing w:line="600" w:lineRule="exact"/>
        <w:ind w:firstLine="643" w:firstLineChars="200"/>
        <w:rPr>
          <w:rFonts w:ascii="仿宋" w:hAnsi="仿宋" w:eastAsia="仿宋" w:cs="仿宋"/>
          <w:b/>
          <w:bCs/>
          <w:sz w:val="32"/>
          <w:szCs w:val="32"/>
        </w:rPr>
      </w:pPr>
      <w:r>
        <w:rPr>
          <w:rFonts w:hint="eastAsia" w:ascii="仿宋" w:hAnsi="仿宋" w:eastAsia="仿宋" w:cs="仿宋"/>
          <w:b/>
          <w:bCs/>
          <w:sz w:val="32"/>
          <w:szCs w:val="32"/>
        </w:rPr>
        <w:t>本单位在2020年度部门决算中反映“文稿信息编审费”1个项目绩效目标实际完成情况。具体如下：</w:t>
      </w:r>
    </w:p>
    <w:p>
      <w:pPr>
        <w:adjustRightInd w:val="0"/>
        <w:snapToGrid w:val="0"/>
        <w:spacing w:line="600" w:lineRule="exact"/>
        <w:ind w:firstLine="643" w:firstLineChars="200"/>
        <w:rPr>
          <w:rFonts w:ascii="仿宋" w:hAnsi="仿宋" w:eastAsia="仿宋" w:cs="仿宋"/>
          <w:b/>
          <w:bCs/>
          <w:sz w:val="32"/>
          <w:szCs w:val="32"/>
        </w:rPr>
      </w:pPr>
      <w:r>
        <w:rPr>
          <w:rFonts w:hint="eastAsia" w:ascii="仿宋" w:hAnsi="仿宋" w:eastAsia="仿宋" w:cs="仿宋"/>
          <w:b/>
          <w:bCs/>
          <w:sz w:val="32"/>
          <w:szCs w:val="32"/>
        </w:rPr>
        <w:t>该项目全年预算数45万元，执行数为45万元，完成预算的100%。通过项目实施，为省委决策提供有效信息资政服务。</w:t>
      </w:r>
    </w:p>
    <w:p>
      <w:pPr>
        <w:adjustRightInd w:val="0"/>
        <w:snapToGrid w:val="0"/>
        <w:spacing w:line="600" w:lineRule="exact"/>
        <w:rPr>
          <w:rFonts w:ascii="仿宋" w:hAnsi="仿宋" w:eastAsia="仿宋" w:cs="仿宋"/>
          <w:b/>
          <w:bCs/>
          <w:sz w:val="32"/>
          <w:szCs w:val="32"/>
        </w:rPr>
      </w:pPr>
    </w:p>
    <w:tbl>
      <w:tblPr>
        <w:tblStyle w:val="11"/>
        <w:tblW w:w="9548" w:type="dxa"/>
        <w:tblInd w:w="-651" w:type="dxa"/>
        <w:tblLayout w:type="fixed"/>
        <w:tblCellMar>
          <w:top w:w="0" w:type="dxa"/>
          <w:left w:w="108" w:type="dxa"/>
          <w:bottom w:w="0" w:type="dxa"/>
          <w:right w:w="108" w:type="dxa"/>
        </w:tblCellMar>
      </w:tblPr>
      <w:tblGrid>
        <w:gridCol w:w="759"/>
        <w:gridCol w:w="806"/>
        <w:gridCol w:w="811"/>
        <w:gridCol w:w="1913"/>
        <w:gridCol w:w="723"/>
        <w:gridCol w:w="2410"/>
        <w:gridCol w:w="425"/>
        <w:gridCol w:w="1701"/>
      </w:tblGrid>
      <w:tr>
        <w:tblPrEx>
          <w:tblCellMar>
            <w:top w:w="0" w:type="dxa"/>
            <w:left w:w="108" w:type="dxa"/>
            <w:bottom w:w="0" w:type="dxa"/>
            <w:right w:w="108" w:type="dxa"/>
          </w:tblCellMar>
        </w:tblPrEx>
        <w:trPr>
          <w:trHeight w:val="675" w:hRule="atLeast"/>
        </w:trPr>
        <w:tc>
          <w:tcPr>
            <w:tcW w:w="9548" w:type="dxa"/>
            <w:gridSpan w:val="8"/>
            <w:tcBorders>
              <w:top w:val="nil"/>
              <w:left w:val="nil"/>
              <w:bottom w:val="nil"/>
              <w:right w:val="nil"/>
            </w:tcBorders>
            <w:shd w:val="clear" w:color="auto" w:fill="auto"/>
            <w:vAlign w:val="center"/>
          </w:tcPr>
          <w:p>
            <w:pPr>
              <w:widowControl/>
              <w:jc w:val="center"/>
              <w:rPr>
                <w:rFonts w:ascii="方正小标宋简体" w:hAnsi="Arial" w:eastAsia="方正小标宋简体" w:cs="Arial"/>
                <w:b/>
                <w:bCs/>
                <w:color w:val="000000"/>
                <w:kern w:val="0"/>
                <w:sz w:val="32"/>
                <w:szCs w:val="32"/>
              </w:rPr>
            </w:pPr>
            <w:r>
              <w:rPr>
                <w:rFonts w:hint="eastAsia" w:ascii="方正小标宋简体" w:hAnsi="Arial" w:eastAsia="方正小标宋简体" w:cs="Arial"/>
                <w:b/>
                <w:bCs/>
                <w:color w:val="000000"/>
                <w:kern w:val="0"/>
                <w:sz w:val="32"/>
                <w:szCs w:val="32"/>
              </w:rPr>
              <w:t>项目支出绩效指标完成情况表</w:t>
            </w:r>
          </w:p>
        </w:tc>
      </w:tr>
      <w:tr>
        <w:tblPrEx>
          <w:tblCellMar>
            <w:top w:w="0" w:type="dxa"/>
            <w:left w:w="108" w:type="dxa"/>
            <w:bottom w:w="0" w:type="dxa"/>
            <w:right w:w="108" w:type="dxa"/>
          </w:tblCellMar>
        </w:tblPrEx>
        <w:trPr>
          <w:trHeight w:val="285" w:hRule="atLeast"/>
        </w:trPr>
        <w:tc>
          <w:tcPr>
            <w:tcW w:w="9548" w:type="dxa"/>
            <w:gridSpan w:val="8"/>
            <w:tcBorders>
              <w:top w:val="nil"/>
              <w:left w:val="nil"/>
              <w:bottom w:val="nil"/>
              <w:right w:val="nil"/>
            </w:tcBorders>
            <w:shd w:val="clear" w:color="auto" w:fill="auto"/>
            <w:vAlign w:val="center"/>
          </w:tcPr>
          <w:p>
            <w:pPr>
              <w:widowControl/>
              <w:jc w:val="center"/>
              <w:rPr>
                <w:rFonts w:ascii="仿宋" w:hAnsi="仿宋" w:eastAsia="仿宋" w:cs="Arial"/>
                <w:b/>
                <w:bCs/>
                <w:color w:val="000000"/>
                <w:kern w:val="0"/>
                <w:sz w:val="20"/>
                <w:szCs w:val="20"/>
              </w:rPr>
            </w:pPr>
            <w:r>
              <w:rPr>
                <w:rFonts w:hint="eastAsia" w:ascii="仿宋" w:hAnsi="仿宋" w:eastAsia="仿宋" w:cs="Arial"/>
                <w:b/>
                <w:bCs/>
                <w:color w:val="000000"/>
                <w:kern w:val="0"/>
                <w:sz w:val="20"/>
                <w:szCs w:val="20"/>
              </w:rPr>
              <w:t>（2020年度）</w:t>
            </w:r>
          </w:p>
          <w:p>
            <w:pPr>
              <w:widowControl/>
              <w:jc w:val="right"/>
              <w:rPr>
                <w:rFonts w:ascii="仿宋" w:hAnsi="仿宋" w:eastAsia="仿宋" w:cs="Arial"/>
                <w:b/>
                <w:bCs/>
                <w:color w:val="000000"/>
                <w:kern w:val="0"/>
                <w:sz w:val="20"/>
                <w:szCs w:val="20"/>
              </w:rPr>
            </w:pPr>
            <w:r>
              <w:rPr>
                <w:rFonts w:hint="eastAsia" w:ascii="仿宋" w:hAnsi="仿宋" w:eastAsia="仿宋" w:cs="Arial"/>
                <w:b/>
                <w:bCs/>
                <w:color w:val="000000"/>
                <w:kern w:val="0"/>
                <w:sz w:val="20"/>
                <w:szCs w:val="20"/>
              </w:rPr>
              <w:t>单位：万元</w:t>
            </w:r>
          </w:p>
        </w:tc>
      </w:tr>
      <w:tr>
        <w:tblPrEx>
          <w:tblCellMar>
            <w:top w:w="0" w:type="dxa"/>
            <w:left w:w="108" w:type="dxa"/>
            <w:bottom w:w="0" w:type="dxa"/>
            <w:right w:w="108" w:type="dxa"/>
          </w:tblCellMar>
        </w:tblPrEx>
        <w:trPr>
          <w:trHeight w:val="439" w:hRule="atLeast"/>
        </w:trPr>
        <w:tc>
          <w:tcPr>
            <w:tcW w:w="1565" w:type="dxa"/>
            <w:gridSpan w:val="2"/>
            <w:tcBorders>
              <w:top w:val="single" w:color="000000" w:sz="8" w:space="0"/>
              <w:left w:val="single" w:color="000000" w:sz="8" w:space="0"/>
              <w:bottom w:val="single" w:color="000000" w:sz="4" w:space="0"/>
              <w:right w:val="single" w:color="000000" w:sz="4" w:space="0"/>
            </w:tcBorders>
            <w:shd w:val="clear" w:color="auto" w:fill="auto"/>
            <w:vAlign w:val="center"/>
          </w:tcPr>
          <w:p>
            <w:pPr>
              <w:widowControl/>
              <w:jc w:val="center"/>
              <w:rPr>
                <w:rFonts w:ascii="仿宋" w:hAnsi="仿宋" w:eastAsia="仿宋" w:cs="Arial"/>
                <w:b/>
                <w:bCs/>
                <w:color w:val="000000"/>
                <w:kern w:val="0"/>
                <w:sz w:val="24"/>
              </w:rPr>
            </w:pPr>
            <w:r>
              <w:rPr>
                <w:rFonts w:hint="eastAsia" w:ascii="仿宋" w:hAnsi="仿宋" w:eastAsia="仿宋" w:cs="Arial"/>
                <w:b/>
                <w:bCs/>
                <w:color w:val="000000"/>
                <w:kern w:val="0"/>
                <w:sz w:val="24"/>
              </w:rPr>
              <w:t>项目名称</w:t>
            </w:r>
          </w:p>
        </w:tc>
        <w:tc>
          <w:tcPr>
            <w:tcW w:w="7983" w:type="dxa"/>
            <w:gridSpan w:val="6"/>
            <w:tcBorders>
              <w:top w:val="single" w:color="000000" w:sz="8" w:space="0"/>
              <w:left w:val="single" w:color="000000" w:sz="4" w:space="0"/>
              <w:bottom w:val="single" w:color="000000" w:sz="4" w:space="0"/>
              <w:right w:val="single" w:color="000000" w:sz="4" w:space="0"/>
            </w:tcBorders>
            <w:shd w:val="clear" w:color="auto" w:fill="auto"/>
            <w:vAlign w:val="center"/>
          </w:tcPr>
          <w:p>
            <w:pPr>
              <w:widowControl/>
              <w:jc w:val="center"/>
              <w:rPr>
                <w:rFonts w:ascii="仿宋" w:hAnsi="仿宋" w:eastAsia="仿宋" w:cs="Arial"/>
                <w:b/>
                <w:bCs/>
                <w:color w:val="000000"/>
                <w:kern w:val="0"/>
                <w:sz w:val="24"/>
              </w:rPr>
            </w:pPr>
            <w:r>
              <w:rPr>
                <w:rFonts w:hint="eastAsia" w:ascii="仿宋" w:hAnsi="仿宋" w:eastAsia="仿宋" w:cs="Arial"/>
                <w:b/>
                <w:bCs/>
                <w:color w:val="000000"/>
                <w:kern w:val="0"/>
                <w:sz w:val="24"/>
              </w:rPr>
              <w:t>互联网信息中心文稿信息编审费</w:t>
            </w:r>
          </w:p>
        </w:tc>
      </w:tr>
      <w:tr>
        <w:tblPrEx>
          <w:tblCellMar>
            <w:top w:w="0" w:type="dxa"/>
            <w:left w:w="108" w:type="dxa"/>
            <w:bottom w:w="0" w:type="dxa"/>
            <w:right w:w="108" w:type="dxa"/>
          </w:tblCellMar>
        </w:tblPrEx>
        <w:trPr>
          <w:trHeight w:val="720" w:hRule="atLeast"/>
        </w:trPr>
        <w:tc>
          <w:tcPr>
            <w:tcW w:w="1565" w:type="dxa"/>
            <w:gridSpan w:val="2"/>
            <w:tcBorders>
              <w:top w:val="single" w:color="000000" w:sz="4" w:space="0"/>
              <w:left w:val="single" w:color="000000" w:sz="8" w:space="0"/>
              <w:bottom w:val="single" w:color="000000" w:sz="4" w:space="0"/>
              <w:right w:val="single" w:color="000000" w:sz="4" w:space="0"/>
            </w:tcBorders>
            <w:shd w:val="clear" w:color="auto" w:fill="auto"/>
            <w:vAlign w:val="center"/>
          </w:tcPr>
          <w:p>
            <w:pPr>
              <w:widowControl/>
              <w:jc w:val="center"/>
              <w:rPr>
                <w:rFonts w:ascii="仿宋" w:hAnsi="仿宋" w:eastAsia="仿宋" w:cs="Arial"/>
                <w:b/>
                <w:bCs/>
                <w:color w:val="000000"/>
                <w:kern w:val="0"/>
                <w:sz w:val="24"/>
              </w:rPr>
            </w:pPr>
            <w:r>
              <w:rPr>
                <w:rFonts w:hint="eastAsia" w:ascii="仿宋" w:hAnsi="仿宋" w:eastAsia="仿宋" w:cs="Arial"/>
                <w:b/>
                <w:bCs/>
                <w:color w:val="000000"/>
                <w:kern w:val="0"/>
                <w:sz w:val="24"/>
              </w:rPr>
              <w:t>主管部门</w:t>
            </w:r>
          </w:p>
        </w:tc>
        <w:tc>
          <w:tcPr>
            <w:tcW w:w="344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仿宋" w:hAnsi="仿宋" w:eastAsia="仿宋" w:cs="Arial"/>
                <w:b/>
                <w:bCs/>
                <w:color w:val="000000"/>
                <w:kern w:val="0"/>
                <w:sz w:val="24"/>
              </w:rPr>
            </w:pPr>
            <w:r>
              <w:rPr>
                <w:rFonts w:hint="eastAsia" w:ascii="仿宋" w:hAnsi="仿宋" w:eastAsia="仿宋" w:cs="Arial"/>
                <w:b/>
                <w:bCs/>
                <w:color w:val="000000"/>
                <w:kern w:val="0"/>
                <w:sz w:val="24"/>
              </w:rPr>
              <w:t>中共四川省委办公厅</w:t>
            </w:r>
          </w:p>
        </w:tc>
        <w:tc>
          <w:tcPr>
            <w:tcW w:w="283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仿宋" w:hAnsi="仿宋" w:eastAsia="仿宋" w:cs="Arial"/>
                <w:b/>
                <w:bCs/>
                <w:color w:val="000000"/>
                <w:kern w:val="0"/>
                <w:sz w:val="24"/>
              </w:rPr>
            </w:pPr>
            <w:r>
              <w:rPr>
                <w:rFonts w:hint="eastAsia" w:ascii="仿宋" w:hAnsi="仿宋" w:eastAsia="仿宋" w:cs="Arial"/>
                <w:b/>
                <w:bCs/>
                <w:color w:val="000000"/>
                <w:kern w:val="0"/>
                <w:sz w:val="24"/>
              </w:rPr>
              <w:t>预算单位</w:t>
            </w:r>
          </w:p>
        </w:tc>
        <w:tc>
          <w:tcPr>
            <w:tcW w:w="1701" w:type="dxa"/>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rPr>
                <w:rFonts w:ascii="仿宋" w:hAnsi="仿宋" w:eastAsia="仿宋" w:cs="Arial"/>
                <w:b/>
                <w:bCs/>
                <w:color w:val="000000"/>
                <w:kern w:val="0"/>
                <w:sz w:val="24"/>
              </w:rPr>
            </w:pPr>
            <w:r>
              <w:rPr>
                <w:rFonts w:hint="eastAsia" w:ascii="仿宋" w:hAnsi="仿宋" w:eastAsia="仿宋" w:cs="Arial"/>
                <w:b/>
                <w:bCs/>
                <w:color w:val="000000"/>
                <w:kern w:val="0"/>
                <w:sz w:val="24"/>
              </w:rPr>
              <w:t>中共四川省委办公厅互联网信息中心</w:t>
            </w:r>
          </w:p>
        </w:tc>
      </w:tr>
      <w:tr>
        <w:tblPrEx>
          <w:tblCellMar>
            <w:top w:w="0" w:type="dxa"/>
            <w:left w:w="108" w:type="dxa"/>
            <w:bottom w:w="0" w:type="dxa"/>
            <w:right w:w="108" w:type="dxa"/>
          </w:tblCellMar>
        </w:tblPrEx>
        <w:trPr>
          <w:trHeight w:val="439" w:hRule="atLeast"/>
        </w:trPr>
        <w:tc>
          <w:tcPr>
            <w:tcW w:w="1565" w:type="dxa"/>
            <w:gridSpan w:val="2"/>
            <w:vMerge w:val="restart"/>
            <w:tcBorders>
              <w:top w:val="single" w:color="000000" w:sz="4" w:space="0"/>
              <w:left w:val="single" w:color="000000" w:sz="8" w:space="0"/>
              <w:bottom w:val="single" w:color="000000" w:sz="4" w:space="0"/>
              <w:right w:val="single" w:color="000000" w:sz="4" w:space="0"/>
            </w:tcBorders>
            <w:shd w:val="clear" w:color="auto" w:fill="auto"/>
            <w:vAlign w:val="center"/>
          </w:tcPr>
          <w:p>
            <w:pPr>
              <w:widowControl/>
              <w:jc w:val="center"/>
              <w:rPr>
                <w:rFonts w:ascii="仿宋" w:hAnsi="仿宋" w:eastAsia="仿宋" w:cs="Arial"/>
                <w:b/>
                <w:bCs/>
                <w:color w:val="000000"/>
                <w:kern w:val="0"/>
                <w:sz w:val="24"/>
              </w:rPr>
            </w:pPr>
            <w:r>
              <w:rPr>
                <w:rFonts w:hint="eastAsia" w:ascii="仿宋" w:hAnsi="仿宋" w:eastAsia="仿宋" w:cs="Arial"/>
                <w:b/>
                <w:bCs/>
                <w:color w:val="000000"/>
                <w:kern w:val="0"/>
                <w:sz w:val="24"/>
              </w:rPr>
              <w:t>项目预算</w:t>
            </w:r>
            <w:r>
              <w:rPr>
                <w:rFonts w:hint="eastAsia" w:ascii="仿宋" w:hAnsi="仿宋" w:eastAsia="仿宋" w:cs="Arial"/>
                <w:b/>
                <w:bCs/>
                <w:color w:val="000000"/>
                <w:kern w:val="0"/>
                <w:sz w:val="24"/>
              </w:rPr>
              <w:br w:type="textWrapping"/>
            </w:r>
            <w:r>
              <w:rPr>
                <w:rFonts w:hint="eastAsia" w:ascii="仿宋" w:hAnsi="仿宋" w:eastAsia="仿宋" w:cs="Arial"/>
                <w:b/>
                <w:bCs/>
                <w:color w:val="000000"/>
                <w:kern w:val="0"/>
                <w:sz w:val="24"/>
              </w:rPr>
              <w:t>执行情况</w:t>
            </w:r>
            <w:r>
              <w:rPr>
                <w:rFonts w:hint="eastAsia" w:ascii="仿宋" w:hAnsi="仿宋" w:eastAsia="仿宋" w:cs="Arial"/>
                <w:b/>
                <w:bCs/>
                <w:color w:val="000000"/>
                <w:kern w:val="0"/>
                <w:sz w:val="24"/>
              </w:rPr>
              <w:br w:type="textWrapping"/>
            </w:r>
            <w:r>
              <w:rPr>
                <w:rFonts w:hint="eastAsia" w:ascii="仿宋" w:hAnsi="仿宋" w:eastAsia="仿宋" w:cs="Arial"/>
                <w:b/>
                <w:bCs/>
                <w:color w:val="000000"/>
                <w:kern w:val="0"/>
                <w:sz w:val="24"/>
              </w:rPr>
              <w:t>（万元）</w:t>
            </w:r>
          </w:p>
        </w:tc>
        <w:tc>
          <w:tcPr>
            <w:tcW w:w="272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仿宋" w:hAnsi="仿宋" w:eastAsia="仿宋" w:cs="Arial"/>
                <w:b/>
                <w:bCs/>
                <w:color w:val="000000"/>
                <w:kern w:val="0"/>
                <w:sz w:val="24"/>
              </w:rPr>
            </w:pPr>
            <w:r>
              <w:rPr>
                <w:rFonts w:hint="eastAsia" w:ascii="仿宋" w:hAnsi="仿宋" w:eastAsia="仿宋" w:cs="Arial"/>
                <w:b/>
                <w:bCs/>
                <w:color w:val="000000"/>
                <w:kern w:val="0"/>
                <w:sz w:val="24"/>
              </w:rPr>
              <w:t>预算数：</w:t>
            </w:r>
          </w:p>
        </w:tc>
        <w:tc>
          <w:tcPr>
            <w:tcW w:w="72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仿宋" w:hAnsi="仿宋" w:eastAsia="仿宋" w:cs="Arial"/>
                <w:b/>
                <w:bCs/>
                <w:color w:val="000000"/>
                <w:kern w:val="0"/>
                <w:sz w:val="24"/>
              </w:rPr>
            </w:pPr>
            <w:r>
              <w:rPr>
                <w:rFonts w:hint="eastAsia" w:ascii="仿宋" w:hAnsi="仿宋" w:eastAsia="仿宋" w:cs="Arial"/>
                <w:b/>
                <w:bCs/>
                <w:color w:val="000000"/>
                <w:kern w:val="0"/>
                <w:sz w:val="24"/>
              </w:rPr>
              <w:t>45</w:t>
            </w:r>
          </w:p>
        </w:tc>
        <w:tc>
          <w:tcPr>
            <w:tcW w:w="283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仿宋" w:hAnsi="仿宋" w:eastAsia="仿宋" w:cs="Arial"/>
                <w:b/>
                <w:bCs/>
                <w:color w:val="000000"/>
                <w:kern w:val="0"/>
                <w:sz w:val="24"/>
              </w:rPr>
            </w:pPr>
            <w:r>
              <w:rPr>
                <w:rFonts w:hint="eastAsia" w:ascii="仿宋" w:hAnsi="仿宋" w:eastAsia="仿宋" w:cs="Arial"/>
                <w:b/>
                <w:bCs/>
                <w:color w:val="000000"/>
                <w:kern w:val="0"/>
                <w:sz w:val="24"/>
              </w:rPr>
              <w:t>执行数：</w:t>
            </w:r>
          </w:p>
        </w:tc>
        <w:tc>
          <w:tcPr>
            <w:tcW w:w="1701" w:type="dxa"/>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rPr>
                <w:rFonts w:ascii="仿宋" w:hAnsi="仿宋" w:eastAsia="仿宋" w:cs="Arial"/>
                <w:b/>
                <w:bCs/>
                <w:color w:val="000000"/>
                <w:kern w:val="0"/>
                <w:sz w:val="24"/>
              </w:rPr>
            </w:pPr>
            <w:r>
              <w:rPr>
                <w:rFonts w:hint="eastAsia" w:ascii="仿宋" w:hAnsi="仿宋" w:eastAsia="仿宋" w:cs="Arial"/>
                <w:b/>
                <w:bCs/>
                <w:color w:val="000000"/>
                <w:kern w:val="0"/>
                <w:sz w:val="24"/>
              </w:rPr>
              <w:t>45</w:t>
            </w:r>
          </w:p>
        </w:tc>
      </w:tr>
      <w:tr>
        <w:tblPrEx>
          <w:tblCellMar>
            <w:top w:w="0" w:type="dxa"/>
            <w:left w:w="108" w:type="dxa"/>
            <w:bottom w:w="0" w:type="dxa"/>
            <w:right w:w="108" w:type="dxa"/>
          </w:tblCellMar>
        </w:tblPrEx>
        <w:trPr>
          <w:trHeight w:val="439" w:hRule="atLeast"/>
        </w:trPr>
        <w:tc>
          <w:tcPr>
            <w:tcW w:w="1565" w:type="dxa"/>
            <w:gridSpan w:val="2"/>
            <w:vMerge w:val="continue"/>
            <w:tcBorders>
              <w:top w:val="single" w:color="000000" w:sz="4" w:space="0"/>
              <w:left w:val="single" w:color="000000" w:sz="8" w:space="0"/>
              <w:bottom w:val="single" w:color="000000" w:sz="4" w:space="0"/>
              <w:right w:val="single" w:color="000000" w:sz="4" w:space="0"/>
            </w:tcBorders>
            <w:vAlign w:val="center"/>
          </w:tcPr>
          <w:p>
            <w:pPr>
              <w:widowControl/>
              <w:jc w:val="left"/>
              <w:rPr>
                <w:rFonts w:ascii="仿宋" w:hAnsi="仿宋" w:eastAsia="仿宋" w:cs="Arial"/>
                <w:b/>
                <w:bCs/>
                <w:color w:val="000000"/>
                <w:kern w:val="0"/>
                <w:sz w:val="24"/>
              </w:rPr>
            </w:pPr>
          </w:p>
        </w:tc>
        <w:tc>
          <w:tcPr>
            <w:tcW w:w="272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仿宋" w:hAnsi="仿宋" w:eastAsia="仿宋" w:cs="Arial"/>
                <w:b/>
                <w:bCs/>
                <w:color w:val="000000"/>
                <w:kern w:val="0"/>
                <w:sz w:val="24"/>
              </w:rPr>
            </w:pPr>
            <w:r>
              <w:rPr>
                <w:rFonts w:hint="eastAsia" w:ascii="仿宋" w:hAnsi="仿宋" w:eastAsia="仿宋" w:cs="Arial"/>
                <w:b/>
                <w:bCs/>
                <w:color w:val="000000"/>
                <w:kern w:val="0"/>
                <w:sz w:val="24"/>
              </w:rPr>
              <w:t>其中：财政拨款</w:t>
            </w:r>
          </w:p>
        </w:tc>
        <w:tc>
          <w:tcPr>
            <w:tcW w:w="72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仿宋" w:hAnsi="仿宋" w:eastAsia="仿宋" w:cs="Arial"/>
                <w:b/>
                <w:bCs/>
                <w:color w:val="000000"/>
                <w:kern w:val="0"/>
                <w:sz w:val="24"/>
              </w:rPr>
            </w:pPr>
            <w:r>
              <w:rPr>
                <w:rFonts w:hint="eastAsia" w:ascii="仿宋" w:hAnsi="仿宋" w:eastAsia="仿宋" w:cs="Arial"/>
                <w:b/>
                <w:bCs/>
                <w:color w:val="000000"/>
                <w:kern w:val="0"/>
                <w:sz w:val="24"/>
              </w:rPr>
              <w:t>45</w:t>
            </w:r>
          </w:p>
        </w:tc>
        <w:tc>
          <w:tcPr>
            <w:tcW w:w="283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仿宋" w:hAnsi="仿宋" w:eastAsia="仿宋" w:cs="Arial"/>
                <w:b/>
                <w:bCs/>
                <w:color w:val="000000"/>
                <w:kern w:val="0"/>
                <w:sz w:val="24"/>
              </w:rPr>
            </w:pPr>
            <w:r>
              <w:rPr>
                <w:rFonts w:hint="eastAsia" w:ascii="仿宋" w:hAnsi="仿宋" w:eastAsia="仿宋" w:cs="Arial"/>
                <w:b/>
                <w:bCs/>
                <w:color w:val="000000"/>
                <w:kern w:val="0"/>
                <w:sz w:val="24"/>
              </w:rPr>
              <w:t>其中：财政拨款</w:t>
            </w:r>
          </w:p>
        </w:tc>
        <w:tc>
          <w:tcPr>
            <w:tcW w:w="1701" w:type="dxa"/>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rPr>
                <w:rFonts w:ascii="仿宋" w:hAnsi="仿宋" w:eastAsia="仿宋" w:cs="Arial"/>
                <w:b/>
                <w:bCs/>
                <w:color w:val="000000"/>
                <w:kern w:val="0"/>
                <w:sz w:val="24"/>
              </w:rPr>
            </w:pPr>
            <w:r>
              <w:rPr>
                <w:rFonts w:hint="eastAsia" w:ascii="仿宋" w:hAnsi="仿宋" w:eastAsia="仿宋" w:cs="Arial"/>
                <w:b/>
                <w:bCs/>
                <w:color w:val="000000"/>
                <w:kern w:val="0"/>
                <w:sz w:val="24"/>
              </w:rPr>
              <w:t>45</w:t>
            </w:r>
          </w:p>
        </w:tc>
      </w:tr>
      <w:tr>
        <w:tblPrEx>
          <w:tblCellMar>
            <w:top w:w="0" w:type="dxa"/>
            <w:left w:w="108" w:type="dxa"/>
            <w:bottom w:w="0" w:type="dxa"/>
            <w:right w:w="108" w:type="dxa"/>
          </w:tblCellMar>
        </w:tblPrEx>
        <w:trPr>
          <w:trHeight w:val="439" w:hRule="atLeast"/>
        </w:trPr>
        <w:tc>
          <w:tcPr>
            <w:tcW w:w="1565" w:type="dxa"/>
            <w:gridSpan w:val="2"/>
            <w:vMerge w:val="continue"/>
            <w:tcBorders>
              <w:top w:val="single" w:color="000000" w:sz="4" w:space="0"/>
              <w:left w:val="single" w:color="000000" w:sz="8" w:space="0"/>
              <w:bottom w:val="single" w:color="000000" w:sz="4" w:space="0"/>
              <w:right w:val="single" w:color="000000" w:sz="4" w:space="0"/>
            </w:tcBorders>
            <w:vAlign w:val="center"/>
          </w:tcPr>
          <w:p>
            <w:pPr>
              <w:widowControl/>
              <w:jc w:val="left"/>
              <w:rPr>
                <w:rFonts w:ascii="仿宋" w:hAnsi="仿宋" w:eastAsia="仿宋" w:cs="Arial"/>
                <w:b/>
                <w:bCs/>
                <w:color w:val="000000"/>
                <w:kern w:val="0"/>
                <w:sz w:val="24"/>
              </w:rPr>
            </w:pPr>
          </w:p>
        </w:tc>
        <w:tc>
          <w:tcPr>
            <w:tcW w:w="272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仿宋" w:hAnsi="仿宋" w:eastAsia="仿宋" w:cs="Arial"/>
                <w:b/>
                <w:bCs/>
                <w:color w:val="000000"/>
                <w:kern w:val="0"/>
                <w:sz w:val="24"/>
              </w:rPr>
            </w:pPr>
            <w:r>
              <w:rPr>
                <w:rFonts w:hint="eastAsia" w:ascii="仿宋" w:hAnsi="仿宋" w:eastAsia="仿宋" w:cs="Arial"/>
                <w:b/>
                <w:bCs/>
                <w:color w:val="000000"/>
                <w:kern w:val="0"/>
                <w:sz w:val="24"/>
              </w:rPr>
              <w:t>其他资金</w:t>
            </w:r>
          </w:p>
        </w:tc>
        <w:tc>
          <w:tcPr>
            <w:tcW w:w="72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仿宋" w:hAnsi="仿宋" w:eastAsia="仿宋" w:cs="Arial"/>
                <w:b/>
                <w:bCs/>
                <w:color w:val="000000"/>
                <w:kern w:val="0"/>
                <w:sz w:val="24"/>
              </w:rPr>
            </w:pPr>
            <w:r>
              <w:rPr>
                <w:rFonts w:hint="eastAsia" w:ascii="仿宋" w:hAnsi="仿宋" w:eastAsia="仿宋" w:cs="Arial"/>
                <w:b/>
                <w:bCs/>
                <w:color w:val="000000"/>
                <w:kern w:val="0"/>
                <w:sz w:val="24"/>
              </w:rPr>
              <w:t>0</w:t>
            </w:r>
          </w:p>
        </w:tc>
        <w:tc>
          <w:tcPr>
            <w:tcW w:w="283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590" w:firstLineChars="245"/>
              <w:rPr>
                <w:rFonts w:ascii="仿宋" w:hAnsi="仿宋" w:eastAsia="仿宋" w:cs="Arial"/>
                <w:b/>
                <w:bCs/>
                <w:color w:val="000000"/>
                <w:kern w:val="0"/>
                <w:sz w:val="24"/>
              </w:rPr>
            </w:pPr>
            <w:r>
              <w:rPr>
                <w:rFonts w:hint="eastAsia" w:ascii="仿宋" w:hAnsi="仿宋" w:eastAsia="仿宋" w:cs="Arial"/>
                <w:b/>
                <w:bCs/>
                <w:color w:val="000000"/>
                <w:kern w:val="0"/>
                <w:sz w:val="24"/>
              </w:rPr>
              <w:t>其他资金</w:t>
            </w:r>
          </w:p>
        </w:tc>
        <w:tc>
          <w:tcPr>
            <w:tcW w:w="1701" w:type="dxa"/>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rPr>
                <w:rFonts w:ascii="仿宋" w:hAnsi="仿宋" w:eastAsia="仿宋" w:cs="Arial"/>
                <w:b/>
                <w:bCs/>
                <w:color w:val="000000"/>
                <w:kern w:val="0"/>
                <w:sz w:val="24"/>
              </w:rPr>
            </w:pPr>
            <w:r>
              <w:rPr>
                <w:rFonts w:hint="eastAsia" w:ascii="仿宋" w:hAnsi="仿宋" w:eastAsia="仿宋" w:cs="Arial"/>
                <w:b/>
                <w:bCs/>
                <w:color w:val="000000"/>
                <w:kern w:val="0"/>
                <w:sz w:val="24"/>
              </w:rPr>
              <w:t>0</w:t>
            </w:r>
          </w:p>
        </w:tc>
      </w:tr>
      <w:tr>
        <w:tblPrEx>
          <w:tblCellMar>
            <w:top w:w="0" w:type="dxa"/>
            <w:left w:w="108" w:type="dxa"/>
            <w:bottom w:w="0" w:type="dxa"/>
            <w:right w:w="108" w:type="dxa"/>
          </w:tblCellMar>
        </w:tblPrEx>
        <w:trPr>
          <w:trHeight w:val="439" w:hRule="atLeast"/>
        </w:trPr>
        <w:tc>
          <w:tcPr>
            <w:tcW w:w="759" w:type="dxa"/>
            <w:vMerge w:val="restart"/>
            <w:tcBorders>
              <w:top w:val="single" w:color="000000" w:sz="4" w:space="0"/>
              <w:left w:val="single" w:color="000000" w:sz="8" w:space="0"/>
              <w:bottom w:val="single" w:color="000000" w:sz="4" w:space="0"/>
              <w:right w:val="single" w:color="000000" w:sz="4" w:space="0"/>
            </w:tcBorders>
            <w:shd w:val="clear" w:color="auto" w:fill="auto"/>
            <w:vAlign w:val="center"/>
          </w:tcPr>
          <w:p>
            <w:pPr>
              <w:widowControl/>
              <w:jc w:val="center"/>
              <w:rPr>
                <w:rFonts w:ascii="仿宋" w:hAnsi="仿宋" w:eastAsia="仿宋" w:cs="Arial"/>
                <w:b/>
                <w:bCs/>
                <w:color w:val="000000"/>
                <w:kern w:val="0"/>
                <w:sz w:val="24"/>
              </w:rPr>
            </w:pPr>
            <w:r>
              <w:rPr>
                <w:rFonts w:hint="eastAsia" w:ascii="仿宋" w:hAnsi="仿宋" w:eastAsia="仿宋" w:cs="Arial"/>
                <w:b/>
                <w:bCs/>
                <w:color w:val="000000"/>
                <w:kern w:val="0"/>
                <w:sz w:val="24"/>
              </w:rPr>
              <w:t>年</w:t>
            </w:r>
            <w:r>
              <w:rPr>
                <w:rFonts w:hint="eastAsia" w:ascii="仿宋" w:hAnsi="仿宋" w:eastAsia="仿宋" w:cs="Arial"/>
                <w:b/>
                <w:bCs/>
                <w:color w:val="000000"/>
                <w:kern w:val="0"/>
                <w:sz w:val="24"/>
              </w:rPr>
              <w:br w:type="textWrapping"/>
            </w:r>
            <w:r>
              <w:rPr>
                <w:rFonts w:hint="eastAsia" w:ascii="仿宋" w:hAnsi="仿宋" w:eastAsia="仿宋" w:cs="Arial"/>
                <w:b/>
                <w:bCs/>
                <w:color w:val="000000"/>
                <w:kern w:val="0"/>
                <w:sz w:val="24"/>
              </w:rPr>
              <w:t>度</w:t>
            </w:r>
            <w:r>
              <w:rPr>
                <w:rFonts w:hint="eastAsia" w:ascii="仿宋" w:hAnsi="仿宋" w:eastAsia="仿宋" w:cs="Arial"/>
                <w:b/>
                <w:bCs/>
                <w:color w:val="000000"/>
                <w:kern w:val="0"/>
                <w:sz w:val="24"/>
              </w:rPr>
              <w:br w:type="textWrapping"/>
            </w:r>
            <w:r>
              <w:rPr>
                <w:rFonts w:hint="eastAsia" w:ascii="仿宋" w:hAnsi="仿宋" w:eastAsia="仿宋" w:cs="Arial"/>
                <w:b/>
                <w:bCs/>
                <w:color w:val="000000"/>
                <w:kern w:val="0"/>
                <w:sz w:val="24"/>
              </w:rPr>
              <w:t>总</w:t>
            </w:r>
            <w:r>
              <w:rPr>
                <w:rFonts w:hint="eastAsia" w:ascii="仿宋" w:hAnsi="仿宋" w:eastAsia="仿宋" w:cs="Arial"/>
                <w:b/>
                <w:bCs/>
                <w:color w:val="000000"/>
                <w:kern w:val="0"/>
                <w:sz w:val="24"/>
              </w:rPr>
              <w:br w:type="textWrapping"/>
            </w:r>
            <w:r>
              <w:rPr>
                <w:rFonts w:hint="eastAsia" w:ascii="仿宋" w:hAnsi="仿宋" w:eastAsia="仿宋" w:cs="Arial"/>
                <w:b/>
                <w:bCs/>
                <w:color w:val="000000"/>
                <w:kern w:val="0"/>
                <w:sz w:val="24"/>
              </w:rPr>
              <w:t>体</w:t>
            </w:r>
            <w:r>
              <w:rPr>
                <w:rFonts w:hint="eastAsia" w:ascii="仿宋" w:hAnsi="仿宋" w:eastAsia="仿宋" w:cs="Arial"/>
                <w:b/>
                <w:bCs/>
                <w:color w:val="000000"/>
                <w:kern w:val="0"/>
                <w:sz w:val="24"/>
              </w:rPr>
              <w:br w:type="textWrapping"/>
            </w:r>
            <w:r>
              <w:rPr>
                <w:rFonts w:hint="eastAsia" w:ascii="仿宋" w:hAnsi="仿宋" w:eastAsia="仿宋" w:cs="Arial"/>
                <w:b/>
                <w:bCs/>
                <w:color w:val="000000"/>
                <w:kern w:val="0"/>
                <w:sz w:val="24"/>
              </w:rPr>
              <w:t>目</w:t>
            </w:r>
            <w:r>
              <w:rPr>
                <w:rFonts w:hint="eastAsia" w:ascii="仿宋" w:hAnsi="仿宋" w:eastAsia="仿宋" w:cs="Arial"/>
                <w:b/>
                <w:bCs/>
                <w:color w:val="000000"/>
                <w:kern w:val="0"/>
                <w:sz w:val="24"/>
              </w:rPr>
              <w:br w:type="textWrapping"/>
            </w:r>
            <w:r>
              <w:rPr>
                <w:rFonts w:hint="eastAsia" w:ascii="仿宋" w:hAnsi="仿宋" w:eastAsia="仿宋" w:cs="Arial"/>
                <w:b/>
                <w:bCs/>
                <w:color w:val="000000"/>
                <w:kern w:val="0"/>
                <w:sz w:val="24"/>
              </w:rPr>
              <w:t>标</w:t>
            </w:r>
            <w:r>
              <w:rPr>
                <w:rFonts w:hint="eastAsia" w:ascii="仿宋" w:hAnsi="仿宋" w:eastAsia="仿宋" w:cs="Arial"/>
                <w:b/>
                <w:bCs/>
                <w:color w:val="000000"/>
                <w:kern w:val="0"/>
                <w:sz w:val="24"/>
              </w:rPr>
              <w:br w:type="textWrapping"/>
            </w:r>
            <w:r>
              <w:rPr>
                <w:rFonts w:hint="eastAsia" w:ascii="仿宋" w:hAnsi="仿宋" w:eastAsia="仿宋" w:cs="Arial"/>
                <w:b/>
                <w:bCs/>
                <w:color w:val="000000"/>
                <w:kern w:val="0"/>
                <w:sz w:val="24"/>
              </w:rPr>
              <w:t>完</w:t>
            </w:r>
            <w:r>
              <w:rPr>
                <w:rFonts w:hint="eastAsia" w:ascii="仿宋" w:hAnsi="仿宋" w:eastAsia="仿宋" w:cs="Arial"/>
                <w:b/>
                <w:bCs/>
                <w:color w:val="000000"/>
                <w:kern w:val="0"/>
                <w:sz w:val="24"/>
              </w:rPr>
              <w:br w:type="textWrapping"/>
            </w:r>
            <w:r>
              <w:rPr>
                <w:rFonts w:hint="eastAsia" w:ascii="仿宋" w:hAnsi="仿宋" w:eastAsia="仿宋" w:cs="Arial"/>
                <w:b/>
                <w:bCs/>
                <w:color w:val="000000"/>
                <w:kern w:val="0"/>
                <w:sz w:val="24"/>
              </w:rPr>
              <w:t>成</w:t>
            </w:r>
            <w:r>
              <w:rPr>
                <w:rFonts w:hint="eastAsia" w:ascii="仿宋" w:hAnsi="仿宋" w:eastAsia="仿宋" w:cs="Arial"/>
                <w:b/>
                <w:bCs/>
                <w:color w:val="000000"/>
                <w:kern w:val="0"/>
                <w:sz w:val="24"/>
              </w:rPr>
              <w:br w:type="textWrapping"/>
            </w:r>
            <w:r>
              <w:rPr>
                <w:rFonts w:hint="eastAsia" w:ascii="仿宋" w:hAnsi="仿宋" w:eastAsia="仿宋" w:cs="Arial"/>
                <w:b/>
                <w:bCs/>
                <w:color w:val="000000"/>
                <w:kern w:val="0"/>
                <w:sz w:val="24"/>
              </w:rPr>
              <w:t>情</w:t>
            </w:r>
            <w:r>
              <w:rPr>
                <w:rFonts w:hint="eastAsia" w:ascii="仿宋" w:hAnsi="仿宋" w:eastAsia="仿宋" w:cs="Arial"/>
                <w:b/>
                <w:bCs/>
                <w:color w:val="000000"/>
                <w:kern w:val="0"/>
                <w:sz w:val="24"/>
              </w:rPr>
              <w:br w:type="textWrapping"/>
            </w:r>
            <w:r>
              <w:rPr>
                <w:rFonts w:hint="eastAsia" w:ascii="仿宋" w:hAnsi="仿宋" w:eastAsia="仿宋" w:cs="Arial"/>
                <w:b/>
                <w:bCs/>
                <w:color w:val="000000"/>
                <w:kern w:val="0"/>
                <w:sz w:val="24"/>
              </w:rPr>
              <w:t>况</w:t>
            </w:r>
          </w:p>
        </w:tc>
        <w:tc>
          <w:tcPr>
            <w:tcW w:w="4253"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仿宋" w:hAnsi="仿宋" w:eastAsia="仿宋" w:cs="Arial"/>
                <w:b/>
                <w:bCs/>
                <w:color w:val="000000"/>
                <w:kern w:val="0"/>
                <w:sz w:val="24"/>
              </w:rPr>
            </w:pPr>
            <w:r>
              <w:rPr>
                <w:rFonts w:hint="eastAsia" w:ascii="仿宋" w:hAnsi="仿宋" w:eastAsia="仿宋" w:cs="Arial"/>
                <w:b/>
                <w:bCs/>
                <w:color w:val="000000"/>
                <w:kern w:val="0"/>
                <w:sz w:val="24"/>
              </w:rPr>
              <w:t>预期目标</w:t>
            </w:r>
          </w:p>
        </w:tc>
        <w:tc>
          <w:tcPr>
            <w:tcW w:w="453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仿宋" w:hAnsi="仿宋" w:eastAsia="仿宋" w:cs="Arial"/>
                <w:b/>
                <w:bCs/>
                <w:color w:val="000000"/>
                <w:kern w:val="0"/>
                <w:sz w:val="24"/>
              </w:rPr>
            </w:pPr>
            <w:r>
              <w:rPr>
                <w:rFonts w:hint="eastAsia" w:ascii="仿宋" w:hAnsi="仿宋" w:eastAsia="仿宋" w:cs="Arial"/>
                <w:b/>
                <w:bCs/>
                <w:color w:val="000000"/>
                <w:kern w:val="0"/>
                <w:sz w:val="24"/>
              </w:rPr>
              <w:t>目标实际完成情况</w:t>
            </w:r>
          </w:p>
        </w:tc>
      </w:tr>
      <w:tr>
        <w:tblPrEx>
          <w:tblCellMar>
            <w:top w:w="0" w:type="dxa"/>
            <w:left w:w="108" w:type="dxa"/>
            <w:bottom w:w="0" w:type="dxa"/>
            <w:right w:w="108" w:type="dxa"/>
          </w:tblCellMar>
        </w:tblPrEx>
        <w:trPr>
          <w:trHeight w:val="2860" w:hRule="atLeast"/>
        </w:trPr>
        <w:tc>
          <w:tcPr>
            <w:tcW w:w="759" w:type="dxa"/>
            <w:vMerge w:val="continue"/>
            <w:tcBorders>
              <w:top w:val="single" w:color="000000" w:sz="4" w:space="0"/>
              <w:left w:val="single" w:color="000000" w:sz="8" w:space="0"/>
              <w:bottom w:val="single" w:color="000000" w:sz="4" w:space="0"/>
              <w:right w:val="single" w:color="000000" w:sz="4" w:space="0"/>
            </w:tcBorders>
            <w:vAlign w:val="center"/>
          </w:tcPr>
          <w:p>
            <w:pPr>
              <w:widowControl/>
              <w:jc w:val="left"/>
              <w:rPr>
                <w:rFonts w:ascii="仿宋" w:hAnsi="仿宋" w:eastAsia="仿宋" w:cs="Arial"/>
                <w:b/>
                <w:bCs/>
                <w:color w:val="000000"/>
                <w:kern w:val="0"/>
                <w:sz w:val="24"/>
              </w:rPr>
            </w:pPr>
          </w:p>
        </w:tc>
        <w:tc>
          <w:tcPr>
            <w:tcW w:w="4253"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rPr>
                <w:rFonts w:ascii="仿宋" w:hAnsi="仿宋" w:eastAsia="仿宋" w:cs="Arial"/>
                <w:b/>
                <w:bCs/>
                <w:color w:val="000000"/>
                <w:kern w:val="0"/>
                <w:sz w:val="24"/>
              </w:rPr>
            </w:pPr>
            <w:r>
              <w:rPr>
                <w:rFonts w:hint="eastAsia" w:ascii="仿宋" w:hAnsi="仿宋" w:eastAsia="仿宋" w:cs="Arial"/>
                <w:b/>
                <w:bCs/>
                <w:color w:val="000000"/>
                <w:kern w:val="0"/>
                <w:sz w:val="24"/>
              </w:rPr>
              <w:t>坚持“紧、急、新、深”工作取向，牢牢守住互联网“主阵地”，始终围绕中心大局谋划和推进信息服务，为省委决策提供有效信息资政服务。</w:t>
            </w:r>
          </w:p>
        </w:tc>
        <w:tc>
          <w:tcPr>
            <w:tcW w:w="4536" w:type="dxa"/>
            <w:gridSpan w:val="3"/>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left"/>
              <w:rPr>
                <w:rFonts w:ascii="仿宋" w:hAnsi="仿宋" w:eastAsia="仿宋" w:cs="Arial"/>
                <w:b/>
                <w:bCs/>
                <w:color w:val="000000"/>
                <w:kern w:val="0"/>
                <w:sz w:val="24"/>
              </w:rPr>
            </w:pPr>
            <w:r>
              <w:rPr>
                <w:rFonts w:hint="eastAsia" w:ascii="仿宋" w:hAnsi="仿宋" w:eastAsia="仿宋" w:cs="Arial"/>
                <w:b/>
                <w:bCs/>
                <w:color w:val="000000"/>
                <w:kern w:val="0"/>
                <w:sz w:val="24"/>
              </w:rPr>
              <w:t>紧扣党中央和省委决策部署统筹谋划编报全年常规信息、重点信息、突发信息等，坚持把互联网信息工作置于服务省委中心大局中来认识和把握，推动信息工作始终沿着大局所需纵深前进，信息工作的聚焦度、对标度、合拍度、稳妥度不断提升，互联网信息服务不断向高质量迈进。</w:t>
            </w:r>
          </w:p>
        </w:tc>
      </w:tr>
      <w:tr>
        <w:tblPrEx>
          <w:tblCellMar>
            <w:top w:w="0" w:type="dxa"/>
            <w:left w:w="108" w:type="dxa"/>
            <w:bottom w:w="0" w:type="dxa"/>
            <w:right w:w="108" w:type="dxa"/>
          </w:tblCellMar>
        </w:tblPrEx>
        <w:trPr>
          <w:trHeight w:val="720" w:hRule="atLeast"/>
        </w:trPr>
        <w:tc>
          <w:tcPr>
            <w:tcW w:w="759" w:type="dxa"/>
            <w:vMerge w:val="restart"/>
            <w:tcBorders>
              <w:top w:val="single" w:color="000000" w:sz="4" w:space="0"/>
              <w:left w:val="single" w:color="000000" w:sz="8" w:space="0"/>
              <w:bottom w:val="single" w:color="000000" w:sz="8" w:space="0"/>
              <w:right w:val="single" w:color="000000" w:sz="4" w:space="0"/>
            </w:tcBorders>
            <w:shd w:val="clear" w:color="auto" w:fill="auto"/>
            <w:textDirection w:val="tbLrV"/>
            <w:vAlign w:val="center"/>
          </w:tcPr>
          <w:p>
            <w:pPr>
              <w:widowControl/>
              <w:jc w:val="center"/>
              <w:rPr>
                <w:rFonts w:ascii="仿宋" w:hAnsi="仿宋" w:eastAsia="仿宋" w:cs="Arial"/>
                <w:b/>
                <w:bCs/>
                <w:color w:val="000000"/>
                <w:kern w:val="0"/>
                <w:sz w:val="24"/>
              </w:rPr>
            </w:pPr>
            <w:r>
              <w:rPr>
                <w:rFonts w:hint="eastAsia" w:ascii="仿宋" w:hAnsi="仿宋" w:eastAsia="仿宋" w:cs="Arial"/>
                <w:b/>
                <w:bCs/>
                <w:color w:val="000000"/>
                <w:kern w:val="0"/>
                <w:sz w:val="24"/>
              </w:rPr>
              <w:t>年度绩效指标完成情况</w:t>
            </w:r>
          </w:p>
        </w:tc>
        <w:tc>
          <w:tcPr>
            <w:tcW w:w="806" w:type="dxa"/>
            <w:tcBorders>
              <w:top w:val="single" w:color="000000" w:sz="4" w:space="0"/>
              <w:left w:val="nil"/>
              <w:bottom w:val="single" w:color="000000" w:sz="4" w:space="0"/>
              <w:right w:val="single" w:color="000000" w:sz="4" w:space="0"/>
            </w:tcBorders>
            <w:shd w:val="clear" w:color="auto" w:fill="auto"/>
            <w:vAlign w:val="center"/>
          </w:tcPr>
          <w:p>
            <w:pPr>
              <w:widowControl/>
              <w:jc w:val="center"/>
              <w:rPr>
                <w:rFonts w:ascii="仿宋" w:hAnsi="仿宋" w:eastAsia="仿宋" w:cs="Arial"/>
                <w:b/>
                <w:bCs/>
                <w:color w:val="000000"/>
                <w:kern w:val="0"/>
                <w:sz w:val="24"/>
              </w:rPr>
            </w:pPr>
            <w:r>
              <w:rPr>
                <w:rFonts w:hint="eastAsia" w:ascii="仿宋" w:hAnsi="仿宋" w:eastAsia="仿宋" w:cs="Arial"/>
                <w:b/>
                <w:bCs/>
                <w:color w:val="000000"/>
                <w:kern w:val="0"/>
                <w:sz w:val="24"/>
              </w:rPr>
              <w:t>一级指标</w:t>
            </w:r>
          </w:p>
        </w:tc>
        <w:tc>
          <w:tcPr>
            <w:tcW w:w="81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仿宋" w:hAnsi="仿宋" w:eastAsia="仿宋" w:cs="Arial"/>
                <w:b/>
                <w:bCs/>
                <w:color w:val="000000"/>
                <w:kern w:val="0"/>
                <w:sz w:val="24"/>
              </w:rPr>
            </w:pPr>
            <w:r>
              <w:rPr>
                <w:rFonts w:hint="eastAsia" w:ascii="仿宋" w:hAnsi="仿宋" w:eastAsia="仿宋" w:cs="Arial"/>
                <w:b/>
                <w:bCs/>
                <w:color w:val="000000"/>
                <w:kern w:val="0"/>
                <w:sz w:val="24"/>
              </w:rPr>
              <w:t>二级指标</w:t>
            </w:r>
          </w:p>
        </w:tc>
        <w:tc>
          <w:tcPr>
            <w:tcW w:w="263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仿宋" w:hAnsi="仿宋" w:eastAsia="仿宋" w:cs="Arial"/>
                <w:b/>
                <w:bCs/>
                <w:color w:val="000000"/>
                <w:kern w:val="0"/>
                <w:sz w:val="24"/>
              </w:rPr>
            </w:pPr>
            <w:r>
              <w:rPr>
                <w:rFonts w:hint="eastAsia" w:ascii="仿宋" w:hAnsi="仿宋" w:eastAsia="仿宋" w:cs="Arial"/>
                <w:b/>
                <w:bCs/>
                <w:color w:val="000000"/>
                <w:kern w:val="0"/>
                <w:sz w:val="24"/>
              </w:rPr>
              <w:t>三级指标</w:t>
            </w:r>
          </w:p>
        </w:tc>
        <w:tc>
          <w:tcPr>
            <w:tcW w:w="241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仿宋" w:hAnsi="仿宋" w:eastAsia="仿宋" w:cs="Arial"/>
                <w:b/>
                <w:bCs/>
                <w:color w:val="000000"/>
                <w:kern w:val="0"/>
                <w:sz w:val="24"/>
              </w:rPr>
            </w:pPr>
            <w:r>
              <w:rPr>
                <w:rFonts w:hint="eastAsia" w:ascii="仿宋" w:hAnsi="仿宋" w:eastAsia="仿宋" w:cs="Arial"/>
                <w:b/>
                <w:bCs/>
                <w:color w:val="000000"/>
                <w:kern w:val="0"/>
                <w:sz w:val="24"/>
              </w:rPr>
              <w:t>预期指标值</w:t>
            </w:r>
          </w:p>
        </w:tc>
        <w:tc>
          <w:tcPr>
            <w:tcW w:w="2126" w:type="dxa"/>
            <w:gridSpan w:val="2"/>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rPr>
                <w:rFonts w:ascii="仿宋" w:hAnsi="仿宋" w:eastAsia="仿宋" w:cs="Arial"/>
                <w:b/>
                <w:bCs/>
                <w:color w:val="000000"/>
                <w:kern w:val="0"/>
                <w:sz w:val="24"/>
              </w:rPr>
            </w:pPr>
            <w:r>
              <w:rPr>
                <w:rFonts w:hint="eastAsia" w:ascii="仿宋" w:hAnsi="仿宋" w:eastAsia="仿宋" w:cs="Arial"/>
                <w:b/>
                <w:bCs/>
                <w:color w:val="000000"/>
                <w:kern w:val="0"/>
                <w:sz w:val="24"/>
              </w:rPr>
              <w:t>实际完成指标值</w:t>
            </w:r>
          </w:p>
        </w:tc>
      </w:tr>
      <w:tr>
        <w:tblPrEx>
          <w:tblCellMar>
            <w:top w:w="0" w:type="dxa"/>
            <w:left w:w="108" w:type="dxa"/>
            <w:bottom w:w="0" w:type="dxa"/>
            <w:right w:w="108" w:type="dxa"/>
          </w:tblCellMar>
        </w:tblPrEx>
        <w:trPr>
          <w:trHeight w:val="3072" w:hRule="atLeast"/>
        </w:trPr>
        <w:tc>
          <w:tcPr>
            <w:tcW w:w="759" w:type="dxa"/>
            <w:vMerge w:val="continue"/>
            <w:tcBorders>
              <w:top w:val="single" w:color="000000" w:sz="4" w:space="0"/>
              <w:left w:val="single" w:color="000000" w:sz="8" w:space="0"/>
              <w:bottom w:val="single" w:color="000000" w:sz="8" w:space="0"/>
              <w:right w:val="single" w:color="000000" w:sz="4" w:space="0"/>
            </w:tcBorders>
            <w:vAlign w:val="center"/>
          </w:tcPr>
          <w:p>
            <w:pPr>
              <w:widowControl/>
              <w:jc w:val="left"/>
              <w:rPr>
                <w:rFonts w:ascii="仿宋" w:hAnsi="仿宋" w:eastAsia="仿宋" w:cs="Arial"/>
                <w:b/>
                <w:bCs/>
                <w:color w:val="000000"/>
                <w:kern w:val="0"/>
                <w:sz w:val="24"/>
              </w:rPr>
            </w:pPr>
          </w:p>
        </w:tc>
        <w:tc>
          <w:tcPr>
            <w:tcW w:w="806" w:type="dxa"/>
            <w:vMerge w:val="restart"/>
            <w:tcBorders>
              <w:top w:val="single" w:color="000000" w:sz="4" w:space="0"/>
              <w:left w:val="nil"/>
              <w:bottom w:val="single" w:color="000000" w:sz="8" w:space="0"/>
              <w:right w:val="single" w:color="000000" w:sz="4" w:space="0"/>
            </w:tcBorders>
            <w:shd w:val="clear" w:color="auto" w:fill="auto"/>
            <w:vAlign w:val="center"/>
          </w:tcPr>
          <w:p>
            <w:pPr>
              <w:widowControl/>
              <w:jc w:val="center"/>
              <w:rPr>
                <w:rFonts w:ascii="仿宋" w:hAnsi="仿宋" w:eastAsia="仿宋" w:cs="Arial"/>
                <w:b/>
                <w:bCs/>
                <w:color w:val="000000"/>
                <w:kern w:val="0"/>
                <w:sz w:val="24"/>
              </w:rPr>
            </w:pPr>
            <w:r>
              <w:rPr>
                <w:rFonts w:hint="eastAsia" w:ascii="仿宋" w:hAnsi="仿宋" w:eastAsia="仿宋" w:cs="Arial"/>
                <w:b/>
                <w:bCs/>
                <w:color w:val="000000"/>
                <w:kern w:val="0"/>
                <w:sz w:val="24"/>
              </w:rPr>
              <w:t>产出指标</w:t>
            </w:r>
          </w:p>
        </w:tc>
        <w:tc>
          <w:tcPr>
            <w:tcW w:w="81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仿宋" w:hAnsi="仿宋" w:eastAsia="仿宋" w:cs="Arial"/>
                <w:b/>
                <w:bCs/>
                <w:color w:val="000000"/>
                <w:kern w:val="0"/>
                <w:sz w:val="24"/>
              </w:rPr>
            </w:pPr>
            <w:r>
              <w:rPr>
                <w:rFonts w:hint="eastAsia" w:ascii="仿宋" w:hAnsi="仿宋" w:eastAsia="仿宋" w:cs="Arial"/>
                <w:b/>
                <w:bCs/>
                <w:color w:val="000000"/>
                <w:kern w:val="0"/>
                <w:sz w:val="24"/>
              </w:rPr>
              <w:t>数量指标</w:t>
            </w:r>
          </w:p>
        </w:tc>
        <w:tc>
          <w:tcPr>
            <w:tcW w:w="263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rPr>
                <w:rFonts w:ascii="仿宋" w:hAnsi="仿宋" w:eastAsia="仿宋" w:cs="Arial"/>
                <w:b/>
                <w:bCs/>
                <w:color w:val="000000"/>
                <w:kern w:val="0"/>
                <w:sz w:val="24"/>
              </w:rPr>
            </w:pPr>
            <w:r>
              <w:rPr>
                <w:rFonts w:hint="eastAsia" w:ascii="仿宋" w:hAnsi="仿宋" w:eastAsia="仿宋" w:cs="Arial"/>
                <w:b/>
                <w:bCs/>
                <w:color w:val="000000"/>
                <w:kern w:val="0"/>
                <w:sz w:val="24"/>
              </w:rPr>
              <w:t>围绕省委重要决策部署和阶段性重点工作，着重搜集编发网络媒体、重要智库和权威专家具有参考价值的深度分析、政策建议，以及省外的新做法、新经验等，做好《参阅信息》编报工作。</w:t>
            </w:r>
          </w:p>
        </w:tc>
        <w:tc>
          <w:tcPr>
            <w:tcW w:w="241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仿宋" w:hAnsi="仿宋" w:eastAsia="仿宋" w:cs="Arial"/>
                <w:b/>
                <w:bCs/>
                <w:color w:val="000000"/>
                <w:kern w:val="0"/>
                <w:sz w:val="24"/>
              </w:rPr>
            </w:pPr>
            <w:r>
              <w:rPr>
                <w:rFonts w:hint="eastAsia" w:ascii="仿宋" w:hAnsi="仿宋" w:eastAsia="仿宋" w:cs="Arial"/>
                <w:b/>
                <w:bCs/>
                <w:color w:val="000000"/>
                <w:kern w:val="0"/>
                <w:sz w:val="24"/>
              </w:rPr>
              <w:t>编报20期</w:t>
            </w:r>
          </w:p>
        </w:tc>
        <w:tc>
          <w:tcPr>
            <w:tcW w:w="2126" w:type="dxa"/>
            <w:gridSpan w:val="2"/>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rPr>
                <w:rFonts w:ascii="仿宋" w:hAnsi="仿宋" w:eastAsia="仿宋" w:cs="Arial"/>
                <w:b/>
                <w:bCs/>
                <w:color w:val="000000"/>
                <w:kern w:val="0"/>
                <w:sz w:val="24"/>
              </w:rPr>
            </w:pPr>
            <w:r>
              <w:rPr>
                <w:rFonts w:hint="eastAsia" w:ascii="仿宋" w:hAnsi="仿宋" w:eastAsia="仿宋" w:cs="Arial"/>
                <w:b/>
                <w:bCs/>
                <w:color w:val="000000"/>
                <w:kern w:val="0"/>
                <w:sz w:val="24"/>
              </w:rPr>
              <w:t>编报91期</w:t>
            </w:r>
          </w:p>
        </w:tc>
      </w:tr>
      <w:tr>
        <w:tblPrEx>
          <w:tblCellMar>
            <w:top w:w="0" w:type="dxa"/>
            <w:left w:w="108" w:type="dxa"/>
            <w:bottom w:w="0" w:type="dxa"/>
            <w:right w:w="108" w:type="dxa"/>
          </w:tblCellMar>
        </w:tblPrEx>
        <w:trPr>
          <w:trHeight w:val="740" w:hRule="atLeast"/>
        </w:trPr>
        <w:tc>
          <w:tcPr>
            <w:tcW w:w="759" w:type="dxa"/>
            <w:vMerge w:val="continue"/>
            <w:tcBorders>
              <w:top w:val="single" w:color="000000" w:sz="4" w:space="0"/>
              <w:left w:val="single" w:color="000000" w:sz="8" w:space="0"/>
              <w:bottom w:val="single" w:color="000000" w:sz="8" w:space="0"/>
              <w:right w:val="single" w:color="000000" w:sz="4" w:space="0"/>
            </w:tcBorders>
            <w:vAlign w:val="center"/>
          </w:tcPr>
          <w:p>
            <w:pPr>
              <w:widowControl/>
              <w:jc w:val="left"/>
              <w:rPr>
                <w:rFonts w:ascii="仿宋" w:hAnsi="仿宋" w:eastAsia="仿宋" w:cs="Arial"/>
                <w:b/>
                <w:bCs/>
                <w:color w:val="000000"/>
                <w:kern w:val="0"/>
                <w:sz w:val="24"/>
              </w:rPr>
            </w:pPr>
          </w:p>
        </w:tc>
        <w:tc>
          <w:tcPr>
            <w:tcW w:w="806" w:type="dxa"/>
            <w:vMerge w:val="continue"/>
            <w:tcBorders>
              <w:top w:val="single" w:color="000000" w:sz="4" w:space="0"/>
              <w:left w:val="nil"/>
              <w:bottom w:val="single" w:color="000000" w:sz="8" w:space="0"/>
              <w:right w:val="single" w:color="000000" w:sz="4" w:space="0"/>
            </w:tcBorders>
            <w:vAlign w:val="center"/>
          </w:tcPr>
          <w:p>
            <w:pPr>
              <w:widowControl/>
              <w:jc w:val="left"/>
              <w:rPr>
                <w:rFonts w:ascii="仿宋" w:hAnsi="仿宋" w:eastAsia="仿宋" w:cs="Arial"/>
                <w:b/>
                <w:bCs/>
                <w:color w:val="000000"/>
                <w:kern w:val="0"/>
                <w:sz w:val="24"/>
              </w:rPr>
            </w:pPr>
          </w:p>
        </w:tc>
        <w:tc>
          <w:tcPr>
            <w:tcW w:w="81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仿宋" w:hAnsi="仿宋" w:eastAsia="仿宋" w:cs="Arial"/>
                <w:b/>
                <w:bCs/>
                <w:color w:val="000000"/>
                <w:kern w:val="0"/>
                <w:sz w:val="24"/>
              </w:rPr>
            </w:pPr>
            <w:r>
              <w:rPr>
                <w:rFonts w:hint="eastAsia" w:ascii="仿宋" w:hAnsi="仿宋" w:eastAsia="仿宋" w:cs="Arial"/>
                <w:b/>
                <w:bCs/>
                <w:color w:val="000000"/>
                <w:kern w:val="0"/>
                <w:sz w:val="24"/>
              </w:rPr>
              <w:t>数量指标</w:t>
            </w:r>
          </w:p>
        </w:tc>
        <w:tc>
          <w:tcPr>
            <w:tcW w:w="263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rPr>
                <w:rFonts w:ascii="仿宋" w:hAnsi="仿宋" w:eastAsia="仿宋" w:cs="Arial"/>
                <w:b/>
                <w:bCs/>
                <w:color w:val="000000"/>
                <w:kern w:val="0"/>
                <w:sz w:val="24"/>
              </w:rPr>
            </w:pPr>
            <w:r>
              <w:rPr>
                <w:rFonts w:hint="eastAsia" w:ascii="仿宋" w:hAnsi="仿宋" w:eastAsia="仿宋" w:cs="Arial"/>
                <w:b/>
                <w:bCs/>
                <w:color w:val="000000"/>
                <w:kern w:val="0"/>
                <w:sz w:val="24"/>
              </w:rPr>
              <w:t>加强互联网重要舆情信息的监测分析和预警，及时高效向省委领导报送涉川重要舆情网络反响，做好《网情摘报（涉川重要舆情）》编报工作。</w:t>
            </w:r>
          </w:p>
        </w:tc>
        <w:tc>
          <w:tcPr>
            <w:tcW w:w="241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仿宋" w:hAnsi="仿宋" w:eastAsia="仿宋" w:cs="Arial"/>
                <w:b/>
                <w:bCs/>
                <w:color w:val="000000"/>
                <w:kern w:val="0"/>
                <w:sz w:val="24"/>
              </w:rPr>
            </w:pPr>
            <w:r>
              <w:rPr>
                <w:rFonts w:hint="eastAsia" w:ascii="仿宋" w:hAnsi="仿宋" w:eastAsia="仿宋" w:cs="Arial"/>
                <w:b/>
                <w:bCs/>
                <w:color w:val="000000"/>
                <w:kern w:val="0"/>
                <w:sz w:val="24"/>
              </w:rPr>
              <w:t>编报20期</w:t>
            </w:r>
          </w:p>
        </w:tc>
        <w:tc>
          <w:tcPr>
            <w:tcW w:w="2126" w:type="dxa"/>
            <w:gridSpan w:val="2"/>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rPr>
                <w:rFonts w:ascii="仿宋" w:hAnsi="仿宋" w:eastAsia="仿宋" w:cs="Arial"/>
                <w:b/>
                <w:bCs/>
                <w:color w:val="000000"/>
                <w:kern w:val="0"/>
                <w:sz w:val="24"/>
              </w:rPr>
            </w:pPr>
            <w:r>
              <w:rPr>
                <w:rFonts w:hint="eastAsia" w:ascii="仿宋" w:hAnsi="仿宋" w:eastAsia="仿宋" w:cs="Arial"/>
                <w:b/>
                <w:bCs/>
                <w:color w:val="000000"/>
                <w:kern w:val="0"/>
                <w:sz w:val="24"/>
              </w:rPr>
              <w:t>编报164期</w:t>
            </w:r>
          </w:p>
        </w:tc>
      </w:tr>
      <w:tr>
        <w:tblPrEx>
          <w:tblCellMar>
            <w:top w:w="0" w:type="dxa"/>
            <w:left w:w="108" w:type="dxa"/>
            <w:bottom w:w="0" w:type="dxa"/>
            <w:right w:w="108" w:type="dxa"/>
          </w:tblCellMar>
        </w:tblPrEx>
        <w:trPr>
          <w:trHeight w:val="740" w:hRule="atLeast"/>
        </w:trPr>
        <w:tc>
          <w:tcPr>
            <w:tcW w:w="759" w:type="dxa"/>
            <w:vMerge w:val="continue"/>
            <w:tcBorders>
              <w:top w:val="single" w:color="000000" w:sz="4" w:space="0"/>
              <w:left w:val="single" w:color="000000" w:sz="8" w:space="0"/>
              <w:bottom w:val="single" w:color="000000" w:sz="8" w:space="0"/>
              <w:right w:val="single" w:color="000000" w:sz="4" w:space="0"/>
            </w:tcBorders>
            <w:vAlign w:val="center"/>
          </w:tcPr>
          <w:p>
            <w:pPr>
              <w:widowControl/>
              <w:jc w:val="left"/>
              <w:rPr>
                <w:rFonts w:ascii="仿宋" w:hAnsi="仿宋" w:eastAsia="仿宋" w:cs="Arial"/>
                <w:b/>
                <w:bCs/>
                <w:color w:val="000000"/>
                <w:kern w:val="0"/>
                <w:sz w:val="24"/>
              </w:rPr>
            </w:pPr>
          </w:p>
        </w:tc>
        <w:tc>
          <w:tcPr>
            <w:tcW w:w="806" w:type="dxa"/>
            <w:vMerge w:val="continue"/>
            <w:tcBorders>
              <w:top w:val="single" w:color="000000" w:sz="4" w:space="0"/>
              <w:left w:val="nil"/>
              <w:bottom w:val="single" w:color="000000" w:sz="8" w:space="0"/>
              <w:right w:val="single" w:color="000000" w:sz="4" w:space="0"/>
            </w:tcBorders>
            <w:vAlign w:val="center"/>
          </w:tcPr>
          <w:p>
            <w:pPr>
              <w:widowControl/>
              <w:jc w:val="left"/>
              <w:rPr>
                <w:rFonts w:ascii="仿宋" w:hAnsi="仿宋" w:eastAsia="仿宋" w:cs="Arial"/>
                <w:b/>
                <w:bCs/>
                <w:color w:val="000000"/>
                <w:kern w:val="0"/>
                <w:sz w:val="24"/>
              </w:rPr>
            </w:pPr>
          </w:p>
        </w:tc>
        <w:tc>
          <w:tcPr>
            <w:tcW w:w="81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仿宋" w:hAnsi="仿宋" w:eastAsia="仿宋" w:cs="Arial"/>
                <w:b/>
                <w:bCs/>
                <w:color w:val="000000"/>
                <w:kern w:val="0"/>
                <w:sz w:val="24"/>
              </w:rPr>
            </w:pPr>
            <w:r>
              <w:rPr>
                <w:rFonts w:hint="eastAsia" w:ascii="仿宋" w:hAnsi="仿宋" w:eastAsia="仿宋" w:cs="Arial"/>
                <w:b/>
                <w:bCs/>
                <w:color w:val="000000"/>
                <w:kern w:val="0"/>
                <w:sz w:val="24"/>
              </w:rPr>
              <w:t>数量指标</w:t>
            </w:r>
          </w:p>
        </w:tc>
        <w:tc>
          <w:tcPr>
            <w:tcW w:w="263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rPr>
                <w:rFonts w:ascii="仿宋" w:hAnsi="仿宋" w:eastAsia="仿宋" w:cs="Arial"/>
                <w:b/>
                <w:bCs/>
                <w:color w:val="000000"/>
                <w:kern w:val="0"/>
                <w:sz w:val="24"/>
              </w:rPr>
            </w:pPr>
            <w:r>
              <w:rPr>
                <w:rFonts w:hint="eastAsia" w:ascii="仿宋" w:hAnsi="仿宋" w:eastAsia="仿宋" w:cs="Arial"/>
                <w:b/>
                <w:bCs/>
                <w:color w:val="000000"/>
                <w:kern w:val="0"/>
                <w:sz w:val="24"/>
              </w:rPr>
              <w:t>围绕省委中心工作，深学、广看、优选、精编、细校，做好《每日要情（网情）》编报工作。</w:t>
            </w:r>
          </w:p>
        </w:tc>
        <w:tc>
          <w:tcPr>
            <w:tcW w:w="241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仿宋" w:hAnsi="仿宋" w:eastAsia="仿宋" w:cs="Arial"/>
                <w:b/>
                <w:bCs/>
                <w:color w:val="000000"/>
                <w:kern w:val="0"/>
                <w:sz w:val="24"/>
              </w:rPr>
            </w:pPr>
            <w:r>
              <w:rPr>
                <w:rFonts w:hint="eastAsia" w:ascii="仿宋" w:hAnsi="仿宋" w:eastAsia="仿宋" w:cs="Arial"/>
                <w:b/>
                <w:bCs/>
                <w:color w:val="000000"/>
                <w:kern w:val="0"/>
                <w:sz w:val="24"/>
              </w:rPr>
              <w:t>编报200期</w:t>
            </w:r>
          </w:p>
        </w:tc>
        <w:tc>
          <w:tcPr>
            <w:tcW w:w="2126" w:type="dxa"/>
            <w:gridSpan w:val="2"/>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rPr>
                <w:rFonts w:ascii="仿宋" w:hAnsi="仿宋" w:eastAsia="仿宋" w:cs="Arial"/>
                <w:b/>
                <w:bCs/>
                <w:color w:val="000000"/>
                <w:kern w:val="0"/>
                <w:sz w:val="24"/>
              </w:rPr>
            </w:pPr>
            <w:r>
              <w:rPr>
                <w:rFonts w:hint="eastAsia" w:ascii="仿宋" w:hAnsi="仿宋" w:eastAsia="仿宋" w:cs="Arial"/>
                <w:b/>
                <w:bCs/>
                <w:color w:val="000000"/>
                <w:kern w:val="0"/>
                <w:sz w:val="24"/>
              </w:rPr>
              <w:t>编报249期</w:t>
            </w:r>
          </w:p>
        </w:tc>
      </w:tr>
      <w:tr>
        <w:tblPrEx>
          <w:tblCellMar>
            <w:top w:w="0" w:type="dxa"/>
            <w:left w:w="108" w:type="dxa"/>
            <w:bottom w:w="0" w:type="dxa"/>
            <w:right w:w="108" w:type="dxa"/>
          </w:tblCellMar>
        </w:tblPrEx>
        <w:trPr>
          <w:trHeight w:val="740" w:hRule="atLeast"/>
        </w:trPr>
        <w:tc>
          <w:tcPr>
            <w:tcW w:w="759" w:type="dxa"/>
            <w:vMerge w:val="continue"/>
            <w:tcBorders>
              <w:top w:val="single" w:color="000000" w:sz="4" w:space="0"/>
              <w:left w:val="single" w:color="000000" w:sz="8" w:space="0"/>
              <w:bottom w:val="single" w:color="000000" w:sz="8" w:space="0"/>
              <w:right w:val="single" w:color="000000" w:sz="4" w:space="0"/>
            </w:tcBorders>
            <w:vAlign w:val="center"/>
          </w:tcPr>
          <w:p>
            <w:pPr>
              <w:widowControl/>
              <w:jc w:val="left"/>
              <w:rPr>
                <w:rFonts w:ascii="仿宋" w:hAnsi="仿宋" w:eastAsia="仿宋" w:cs="Arial"/>
                <w:b/>
                <w:bCs/>
                <w:color w:val="000000"/>
                <w:kern w:val="0"/>
                <w:sz w:val="24"/>
              </w:rPr>
            </w:pPr>
          </w:p>
        </w:tc>
        <w:tc>
          <w:tcPr>
            <w:tcW w:w="806" w:type="dxa"/>
            <w:vMerge w:val="continue"/>
            <w:tcBorders>
              <w:top w:val="single" w:color="000000" w:sz="4" w:space="0"/>
              <w:left w:val="nil"/>
              <w:bottom w:val="single" w:color="000000" w:sz="8" w:space="0"/>
              <w:right w:val="single" w:color="000000" w:sz="4" w:space="0"/>
            </w:tcBorders>
            <w:vAlign w:val="center"/>
          </w:tcPr>
          <w:p>
            <w:pPr>
              <w:widowControl/>
              <w:jc w:val="left"/>
              <w:rPr>
                <w:rFonts w:ascii="仿宋" w:hAnsi="仿宋" w:eastAsia="仿宋" w:cs="Arial"/>
                <w:b/>
                <w:bCs/>
                <w:color w:val="000000"/>
                <w:kern w:val="0"/>
                <w:sz w:val="24"/>
              </w:rPr>
            </w:pPr>
          </w:p>
        </w:tc>
        <w:tc>
          <w:tcPr>
            <w:tcW w:w="81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仿宋" w:hAnsi="仿宋" w:eastAsia="仿宋" w:cs="Arial"/>
                <w:b/>
                <w:bCs/>
                <w:color w:val="000000"/>
                <w:kern w:val="0"/>
                <w:sz w:val="24"/>
              </w:rPr>
            </w:pPr>
            <w:r>
              <w:rPr>
                <w:rFonts w:hint="eastAsia" w:ascii="仿宋" w:hAnsi="仿宋" w:eastAsia="仿宋" w:cs="Arial"/>
                <w:b/>
                <w:bCs/>
                <w:color w:val="000000"/>
                <w:kern w:val="0"/>
                <w:sz w:val="24"/>
              </w:rPr>
              <w:t>时效指标</w:t>
            </w:r>
          </w:p>
        </w:tc>
        <w:tc>
          <w:tcPr>
            <w:tcW w:w="263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仿宋" w:hAnsi="仿宋" w:eastAsia="仿宋" w:cs="Arial"/>
                <w:b/>
                <w:bCs/>
                <w:color w:val="000000"/>
                <w:kern w:val="0"/>
                <w:sz w:val="24"/>
              </w:rPr>
            </w:pPr>
            <w:r>
              <w:rPr>
                <w:rFonts w:hint="eastAsia" w:ascii="仿宋" w:hAnsi="仿宋" w:eastAsia="仿宋" w:cs="Arial"/>
                <w:b/>
                <w:bCs/>
                <w:color w:val="000000"/>
                <w:kern w:val="0"/>
                <w:sz w:val="24"/>
              </w:rPr>
              <w:t>2020年度</w:t>
            </w:r>
          </w:p>
        </w:tc>
        <w:tc>
          <w:tcPr>
            <w:tcW w:w="241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仿宋" w:hAnsi="仿宋" w:eastAsia="仿宋" w:cs="Arial"/>
                <w:b/>
                <w:bCs/>
                <w:color w:val="000000"/>
                <w:kern w:val="0"/>
                <w:sz w:val="24"/>
              </w:rPr>
            </w:pPr>
            <w:r>
              <w:rPr>
                <w:rFonts w:hint="eastAsia" w:ascii="仿宋" w:hAnsi="仿宋" w:eastAsia="仿宋" w:cs="Arial"/>
                <w:b/>
                <w:bCs/>
                <w:color w:val="000000"/>
                <w:kern w:val="0"/>
                <w:sz w:val="24"/>
              </w:rPr>
              <w:t>1年</w:t>
            </w:r>
          </w:p>
        </w:tc>
        <w:tc>
          <w:tcPr>
            <w:tcW w:w="2126" w:type="dxa"/>
            <w:gridSpan w:val="2"/>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rPr>
                <w:rFonts w:ascii="仿宋" w:hAnsi="仿宋" w:eastAsia="仿宋" w:cs="Arial"/>
                <w:b/>
                <w:bCs/>
                <w:color w:val="000000"/>
                <w:kern w:val="0"/>
                <w:sz w:val="24"/>
              </w:rPr>
            </w:pPr>
            <w:r>
              <w:rPr>
                <w:rFonts w:hint="eastAsia" w:ascii="仿宋" w:hAnsi="仿宋" w:eastAsia="仿宋" w:cs="Arial"/>
                <w:b/>
                <w:bCs/>
                <w:color w:val="000000"/>
                <w:kern w:val="0"/>
                <w:sz w:val="24"/>
              </w:rPr>
              <w:t>1年</w:t>
            </w:r>
          </w:p>
        </w:tc>
      </w:tr>
      <w:tr>
        <w:tblPrEx>
          <w:tblCellMar>
            <w:top w:w="0" w:type="dxa"/>
            <w:left w:w="108" w:type="dxa"/>
            <w:bottom w:w="0" w:type="dxa"/>
            <w:right w:w="108" w:type="dxa"/>
          </w:tblCellMar>
        </w:tblPrEx>
        <w:trPr>
          <w:trHeight w:val="1140" w:hRule="atLeast"/>
        </w:trPr>
        <w:tc>
          <w:tcPr>
            <w:tcW w:w="759" w:type="dxa"/>
            <w:vMerge w:val="continue"/>
            <w:tcBorders>
              <w:top w:val="single" w:color="000000" w:sz="4" w:space="0"/>
              <w:left w:val="single" w:color="000000" w:sz="8" w:space="0"/>
              <w:bottom w:val="single" w:color="000000" w:sz="8" w:space="0"/>
              <w:right w:val="single" w:color="000000" w:sz="4" w:space="0"/>
            </w:tcBorders>
            <w:vAlign w:val="center"/>
          </w:tcPr>
          <w:p>
            <w:pPr>
              <w:widowControl/>
              <w:jc w:val="left"/>
              <w:rPr>
                <w:rFonts w:ascii="仿宋" w:hAnsi="仿宋" w:eastAsia="仿宋" w:cs="Arial"/>
                <w:b/>
                <w:bCs/>
                <w:color w:val="000000"/>
                <w:kern w:val="0"/>
                <w:sz w:val="24"/>
              </w:rPr>
            </w:pPr>
          </w:p>
        </w:tc>
        <w:tc>
          <w:tcPr>
            <w:tcW w:w="806" w:type="dxa"/>
            <w:vMerge w:val="continue"/>
            <w:tcBorders>
              <w:top w:val="single" w:color="000000" w:sz="4" w:space="0"/>
              <w:left w:val="nil"/>
              <w:bottom w:val="single" w:color="000000" w:sz="8" w:space="0"/>
              <w:right w:val="single" w:color="000000" w:sz="4" w:space="0"/>
            </w:tcBorders>
            <w:vAlign w:val="center"/>
          </w:tcPr>
          <w:p>
            <w:pPr>
              <w:widowControl/>
              <w:jc w:val="left"/>
              <w:rPr>
                <w:rFonts w:ascii="仿宋" w:hAnsi="仿宋" w:eastAsia="仿宋" w:cs="Arial"/>
                <w:b/>
                <w:bCs/>
                <w:color w:val="000000"/>
                <w:kern w:val="0"/>
                <w:sz w:val="24"/>
              </w:rPr>
            </w:pPr>
          </w:p>
        </w:tc>
        <w:tc>
          <w:tcPr>
            <w:tcW w:w="81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仿宋" w:hAnsi="仿宋" w:eastAsia="仿宋" w:cs="Arial"/>
                <w:b/>
                <w:bCs/>
                <w:color w:val="000000"/>
                <w:kern w:val="0"/>
                <w:sz w:val="24"/>
              </w:rPr>
            </w:pPr>
            <w:r>
              <w:rPr>
                <w:rFonts w:hint="eastAsia" w:ascii="仿宋" w:hAnsi="仿宋" w:eastAsia="仿宋" w:cs="Arial"/>
                <w:b/>
                <w:bCs/>
                <w:color w:val="000000"/>
                <w:kern w:val="0"/>
                <w:sz w:val="24"/>
              </w:rPr>
              <w:t>成本指标</w:t>
            </w:r>
          </w:p>
        </w:tc>
        <w:tc>
          <w:tcPr>
            <w:tcW w:w="263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rPr>
                <w:rFonts w:ascii="仿宋" w:hAnsi="仿宋" w:eastAsia="仿宋" w:cs="Arial"/>
                <w:b/>
                <w:bCs/>
                <w:color w:val="000000"/>
                <w:kern w:val="0"/>
                <w:sz w:val="24"/>
              </w:rPr>
            </w:pPr>
            <w:r>
              <w:rPr>
                <w:rFonts w:hint="eastAsia" w:ascii="仿宋" w:hAnsi="仿宋" w:eastAsia="仿宋" w:cs="Arial"/>
                <w:b/>
                <w:bCs/>
                <w:color w:val="000000"/>
                <w:kern w:val="0"/>
                <w:sz w:val="24"/>
              </w:rPr>
              <w:t>互联网信息中心文稿信息编审费</w:t>
            </w:r>
          </w:p>
        </w:tc>
        <w:tc>
          <w:tcPr>
            <w:tcW w:w="241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仿宋" w:hAnsi="仿宋" w:eastAsia="仿宋" w:cs="Arial"/>
                <w:b/>
                <w:bCs/>
                <w:color w:val="000000"/>
                <w:kern w:val="0"/>
                <w:sz w:val="24"/>
              </w:rPr>
            </w:pPr>
            <w:r>
              <w:rPr>
                <w:rFonts w:hint="eastAsia" w:ascii="仿宋" w:hAnsi="仿宋" w:eastAsia="仿宋" w:cs="Arial"/>
                <w:b/>
                <w:bCs/>
                <w:color w:val="000000"/>
                <w:kern w:val="0"/>
                <w:sz w:val="24"/>
              </w:rPr>
              <w:t>100%</w:t>
            </w:r>
          </w:p>
        </w:tc>
        <w:tc>
          <w:tcPr>
            <w:tcW w:w="2126" w:type="dxa"/>
            <w:gridSpan w:val="2"/>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rPr>
                <w:rFonts w:ascii="仿宋" w:hAnsi="仿宋" w:eastAsia="仿宋" w:cs="Arial"/>
                <w:b/>
                <w:bCs/>
                <w:color w:val="000000"/>
                <w:kern w:val="0"/>
                <w:sz w:val="24"/>
              </w:rPr>
            </w:pPr>
            <w:r>
              <w:rPr>
                <w:rFonts w:hint="eastAsia" w:ascii="仿宋" w:hAnsi="仿宋" w:eastAsia="仿宋" w:cs="Arial"/>
                <w:b/>
                <w:bCs/>
                <w:color w:val="000000"/>
                <w:kern w:val="0"/>
                <w:sz w:val="24"/>
              </w:rPr>
              <w:t>210%</w:t>
            </w:r>
          </w:p>
        </w:tc>
      </w:tr>
      <w:tr>
        <w:tblPrEx>
          <w:tblCellMar>
            <w:top w:w="0" w:type="dxa"/>
            <w:left w:w="108" w:type="dxa"/>
            <w:bottom w:w="0" w:type="dxa"/>
            <w:right w:w="108" w:type="dxa"/>
          </w:tblCellMar>
        </w:tblPrEx>
        <w:trPr>
          <w:trHeight w:val="1240" w:hRule="atLeast"/>
        </w:trPr>
        <w:tc>
          <w:tcPr>
            <w:tcW w:w="759" w:type="dxa"/>
            <w:vMerge w:val="continue"/>
            <w:tcBorders>
              <w:top w:val="single" w:color="000000" w:sz="4" w:space="0"/>
              <w:left w:val="single" w:color="000000" w:sz="8" w:space="0"/>
              <w:bottom w:val="single" w:color="000000" w:sz="8" w:space="0"/>
              <w:right w:val="single" w:color="000000" w:sz="4" w:space="0"/>
            </w:tcBorders>
            <w:vAlign w:val="center"/>
          </w:tcPr>
          <w:p>
            <w:pPr>
              <w:widowControl/>
              <w:jc w:val="left"/>
              <w:rPr>
                <w:rFonts w:ascii="仿宋" w:hAnsi="仿宋" w:eastAsia="仿宋" w:cs="Arial"/>
                <w:b/>
                <w:bCs/>
                <w:color w:val="000000"/>
                <w:kern w:val="0"/>
                <w:sz w:val="24"/>
              </w:rPr>
            </w:pPr>
          </w:p>
        </w:tc>
        <w:tc>
          <w:tcPr>
            <w:tcW w:w="806" w:type="dxa"/>
            <w:vMerge w:val="continue"/>
            <w:tcBorders>
              <w:top w:val="single" w:color="000000" w:sz="4" w:space="0"/>
              <w:left w:val="nil"/>
              <w:bottom w:val="single" w:color="000000" w:sz="8" w:space="0"/>
              <w:right w:val="single" w:color="000000" w:sz="4" w:space="0"/>
            </w:tcBorders>
            <w:vAlign w:val="center"/>
          </w:tcPr>
          <w:p>
            <w:pPr>
              <w:widowControl/>
              <w:jc w:val="left"/>
              <w:rPr>
                <w:rFonts w:ascii="仿宋" w:hAnsi="仿宋" w:eastAsia="仿宋" w:cs="Arial"/>
                <w:b/>
                <w:bCs/>
                <w:color w:val="000000"/>
                <w:kern w:val="0"/>
                <w:sz w:val="24"/>
              </w:rPr>
            </w:pPr>
          </w:p>
        </w:tc>
        <w:tc>
          <w:tcPr>
            <w:tcW w:w="81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仿宋" w:hAnsi="仿宋" w:eastAsia="仿宋" w:cs="Arial"/>
                <w:b/>
                <w:bCs/>
                <w:color w:val="000000"/>
                <w:kern w:val="0"/>
                <w:sz w:val="24"/>
              </w:rPr>
            </w:pPr>
            <w:r>
              <w:rPr>
                <w:rFonts w:hint="eastAsia" w:ascii="仿宋" w:hAnsi="仿宋" w:eastAsia="仿宋" w:cs="Arial"/>
                <w:b/>
                <w:bCs/>
                <w:color w:val="000000"/>
                <w:kern w:val="0"/>
                <w:sz w:val="24"/>
              </w:rPr>
              <w:t>效益指标</w:t>
            </w:r>
          </w:p>
        </w:tc>
        <w:tc>
          <w:tcPr>
            <w:tcW w:w="263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rPr>
                <w:rFonts w:ascii="仿宋" w:hAnsi="仿宋" w:eastAsia="仿宋" w:cs="Arial"/>
                <w:b/>
                <w:bCs/>
                <w:color w:val="000000"/>
                <w:kern w:val="0"/>
                <w:sz w:val="24"/>
              </w:rPr>
            </w:pPr>
            <w:r>
              <w:rPr>
                <w:rFonts w:hint="eastAsia" w:ascii="Arial" w:hAnsi="Arial" w:eastAsia="仿宋" w:cs="Arial"/>
                <w:b/>
                <w:bCs/>
                <w:color w:val="000000"/>
                <w:kern w:val="0"/>
                <w:sz w:val="24"/>
              </w:rPr>
              <w:t>为省委决策提供有效信息资政服务。</w:t>
            </w:r>
          </w:p>
        </w:tc>
        <w:tc>
          <w:tcPr>
            <w:tcW w:w="241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仿宋" w:hAnsi="仿宋" w:eastAsia="仿宋" w:cs="Arial"/>
                <w:b/>
                <w:bCs/>
                <w:color w:val="000000"/>
                <w:kern w:val="0"/>
                <w:sz w:val="24"/>
              </w:rPr>
            </w:pPr>
            <w:r>
              <w:rPr>
                <w:rFonts w:hint="eastAsia" w:ascii="仿宋" w:hAnsi="仿宋" w:eastAsia="仿宋" w:cs="Arial"/>
                <w:b/>
                <w:bCs/>
                <w:color w:val="000000"/>
                <w:kern w:val="0"/>
                <w:sz w:val="24"/>
              </w:rPr>
              <w:t>获省领导批示100余条</w:t>
            </w:r>
          </w:p>
        </w:tc>
        <w:tc>
          <w:tcPr>
            <w:tcW w:w="2126" w:type="dxa"/>
            <w:gridSpan w:val="2"/>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rPr>
                <w:rFonts w:ascii="仿宋" w:hAnsi="仿宋" w:eastAsia="仿宋" w:cs="Arial"/>
                <w:b/>
                <w:bCs/>
                <w:color w:val="000000"/>
                <w:kern w:val="0"/>
                <w:sz w:val="24"/>
              </w:rPr>
            </w:pPr>
            <w:r>
              <w:rPr>
                <w:rFonts w:hint="eastAsia" w:ascii="仿宋" w:hAnsi="仿宋" w:eastAsia="仿宋" w:cs="Arial"/>
                <w:b/>
                <w:bCs/>
                <w:color w:val="000000"/>
                <w:kern w:val="0"/>
                <w:sz w:val="24"/>
              </w:rPr>
              <w:t>获省领导批示500余条</w:t>
            </w:r>
          </w:p>
        </w:tc>
      </w:tr>
    </w:tbl>
    <w:p>
      <w:pPr>
        <w:adjustRightInd w:val="0"/>
        <w:snapToGrid w:val="0"/>
        <w:spacing w:line="600" w:lineRule="exact"/>
        <w:ind w:firstLine="643" w:firstLineChars="200"/>
        <w:rPr>
          <w:rFonts w:ascii="仿宋" w:hAnsi="仿宋" w:eastAsia="仿宋" w:cs="仿宋"/>
          <w:b/>
          <w:bCs/>
          <w:sz w:val="32"/>
          <w:szCs w:val="32"/>
        </w:rPr>
      </w:pPr>
      <w:r>
        <w:rPr>
          <w:rFonts w:hint="eastAsia" w:ascii="仿宋" w:hAnsi="仿宋" w:eastAsia="仿宋" w:cs="仿宋"/>
          <w:b/>
          <w:bCs/>
          <w:sz w:val="32"/>
          <w:szCs w:val="32"/>
        </w:rPr>
        <w:t>2.单位绩效评价结果。</w:t>
      </w:r>
    </w:p>
    <w:p>
      <w:pPr>
        <w:spacing w:line="580" w:lineRule="exact"/>
        <w:ind w:firstLine="643" w:firstLineChars="200"/>
        <w:rPr>
          <w:rFonts w:ascii="仿宋" w:hAnsi="仿宋" w:eastAsia="仿宋" w:cs="仿宋"/>
          <w:b/>
          <w:bCs/>
          <w:sz w:val="32"/>
          <w:szCs w:val="32"/>
        </w:rPr>
      </w:pPr>
      <w:r>
        <w:rPr>
          <w:rFonts w:hint="eastAsia" w:ascii="仿宋" w:hAnsi="仿宋" w:eastAsia="仿宋" w:cs="仿宋"/>
          <w:b/>
          <w:bCs/>
          <w:sz w:val="32"/>
          <w:szCs w:val="32"/>
        </w:rPr>
        <w:t>本单位自行组织对互联网信息中心文稿信息编审费项目开展了绩效评价，《2020年省委办公厅互联网信息中心项目支出绩效自评报告》见附件（第四部分）。</w:t>
      </w:r>
    </w:p>
    <w:p>
      <w:pPr>
        <w:adjustRightInd w:val="0"/>
        <w:snapToGrid w:val="0"/>
        <w:spacing w:line="600" w:lineRule="exact"/>
        <w:ind w:firstLine="643" w:firstLineChars="200"/>
        <w:rPr>
          <w:rFonts w:ascii="仿宋" w:hAnsi="仿宋" w:eastAsia="仿宋" w:cs="仿宋"/>
          <w:b/>
          <w:bCs/>
          <w:sz w:val="32"/>
          <w:szCs w:val="32"/>
        </w:rPr>
      </w:pPr>
    </w:p>
    <w:p>
      <w:pPr>
        <w:adjustRightInd w:val="0"/>
        <w:snapToGrid w:val="0"/>
        <w:spacing w:line="600" w:lineRule="exact"/>
        <w:ind w:firstLine="643" w:firstLineChars="200"/>
        <w:rPr>
          <w:rFonts w:ascii="仿宋" w:hAnsi="仿宋" w:eastAsia="仿宋" w:cs="仿宋"/>
          <w:b/>
          <w:bCs/>
          <w:sz w:val="32"/>
          <w:szCs w:val="32"/>
        </w:rPr>
      </w:pPr>
    </w:p>
    <w:p>
      <w:pPr>
        <w:adjustRightInd w:val="0"/>
        <w:snapToGrid w:val="0"/>
        <w:spacing w:line="600" w:lineRule="exact"/>
        <w:ind w:firstLine="643" w:firstLineChars="200"/>
        <w:rPr>
          <w:rFonts w:ascii="仿宋" w:hAnsi="仿宋" w:eastAsia="仿宋" w:cs="仿宋"/>
          <w:b/>
          <w:bCs/>
          <w:sz w:val="32"/>
          <w:szCs w:val="32"/>
        </w:rPr>
      </w:pPr>
    </w:p>
    <w:p>
      <w:pPr>
        <w:adjustRightInd w:val="0"/>
        <w:snapToGrid w:val="0"/>
        <w:spacing w:line="600" w:lineRule="exact"/>
        <w:ind w:firstLine="643" w:firstLineChars="200"/>
        <w:rPr>
          <w:rFonts w:ascii="仿宋" w:hAnsi="仿宋" w:eastAsia="仿宋" w:cs="仿宋"/>
          <w:b/>
          <w:bCs/>
          <w:sz w:val="32"/>
          <w:szCs w:val="32"/>
        </w:rPr>
      </w:pPr>
    </w:p>
    <w:p>
      <w:pPr>
        <w:adjustRightInd w:val="0"/>
        <w:snapToGrid w:val="0"/>
        <w:spacing w:line="600" w:lineRule="exact"/>
        <w:ind w:firstLine="643" w:firstLineChars="200"/>
        <w:rPr>
          <w:rFonts w:ascii="仿宋" w:hAnsi="仿宋" w:eastAsia="仿宋" w:cs="仿宋"/>
          <w:b/>
          <w:bCs/>
          <w:sz w:val="32"/>
          <w:szCs w:val="32"/>
        </w:rPr>
      </w:pPr>
    </w:p>
    <w:p>
      <w:pPr>
        <w:adjustRightInd w:val="0"/>
        <w:snapToGrid w:val="0"/>
        <w:spacing w:line="600" w:lineRule="exact"/>
        <w:ind w:firstLine="643" w:firstLineChars="200"/>
        <w:rPr>
          <w:rFonts w:ascii="仿宋" w:hAnsi="仿宋" w:eastAsia="仿宋" w:cs="仿宋"/>
          <w:b/>
          <w:bCs/>
          <w:sz w:val="32"/>
          <w:szCs w:val="32"/>
        </w:rPr>
      </w:pPr>
    </w:p>
    <w:p>
      <w:pPr>
        <w:adjustRightInd w:val="0"/>
        <w:snapToGrid w:val="0"/>
        <w:spacing w:line="600" w:lineRule="exact"/>
        <w:ind w:firstLine="643" w:firstLineChars="200"/>
        <w:rPr>
          <w:rFonts w:ascii="仿宋" w:hAnsi="仿宋" w:eastAsia="仿宋" w:cs="仿宋"/>
          <w:b/>
          <w:bCs/>
          <w:sz w:val="32"/>
          <w:szCs w:val="32"/>
        </w:rPr>
      </w:pPr>
    </w:p>
    <w:p>
      <w:pPr>
        <w:adjustRightInd w:val="0"/>
        <w:snapToGrid w:val="0"/>
        <w:spacing w:line="600" w:lineRule="exact"/>
        <w:ind w:firstLine="643" w:firstLineChars="200"/>
        <w:rPr>
          <w:rFonts w:ascii="仿宋" w:hAnsi="仿宋" w:eastAsia="仿宋" w:cs="仿宋"/>
          <w:b/>
          <w:bCs/>
          <w:sz w:val="32"/>
          <w:szCs w:val="32"/>
        </w:rPr>
      </w:pPr>
    </w:p>
    <w:p>
      <w:pPr>
        <w:adjustRightInd w:val="0"/>
        <w:snapToGrid w:val="0"/>
        <w:spacing w:line="600" w:lineRule="exact"/>
        <w:ind w:firstLine="643" w:firstLineChars="200"/>
        <w:rPr>
          <w:rFonts w:ascii="仿宋" w:hAnsi="仿宋" w:eastAsia="仿宋" w:cs="仿宋"/>
          <w:b/>
          <w:bCs/>
          <w:sz w:val="32"/>
          <w:szCs w:val="32"/>
        </w:rPr>
      </w:pPr>
    </w:p>
    <w:p>
      <w:pPr>
        <w:adjustRightInd w:val="0"/>
        <w:snapToGrid w:val="0"/>
        <w:spacing w:line="600" w:lineRule="exact"/>
        <w:ind w:firstLine="643" w:firstLineChars="200"/>
        <w:rPr>
          <w:rFonts w:ascii="仿宋" w:hAnsi="仿宋" w:eastAsia="仿宋" w:cs="仿宋"/>
          <w:b/>
          <w:bCs/>
          <w:sz w:val="32"/>
          <w:szCs w:val="32"/>
        </w:rPr>
      </w:pPr>
    </w:p>
    <w:p>
      <w:pPr>
        <w:adjustRightInd w:val="0"/>
        <w:snapToGrid w:val="0"/>
        <w:spacing w:line="600" w:lineRule="exact"/>
        <w:rPr>
          <w:rFonts w:ascii="仿宋" w:hAnsi="仿宋" w:eastAsia="仿宋" w:cs="仿宋"/>
          <w:b/>
          <w:bCs/>
          <w:sz w:val="32"/>
          <w:szCs w:val="32"/>
        </w:rPr>
      </w:pPr>
    </w:p>
    <w:p>
      <w:pPr>
        <w:pStyle w:val="3"/>
        <w:adjustRightInd w:val="0"/>
        <w:snapToGrid w:val="0"/>
        <w:spacing w:after="0" w:line="600" w:lineRule="exact"/>
        <w:jc w:val="center"/>
        <w:rPr>
          <w:rFonts w:eastAsia="黑体"/>
          <w:color w:val="000000"/>
        </w:rPr>
      </w:pPr>
      <w:bookmarkStart w:id="73" w:name="_Toc15377225"/>
      <w:bookmarkStart w:id="74" w:name="_Toc6862"/>
      <w:bookmarkStart w:id="75" w:name="_Toc12334"/>
      <w:r>
        <w:rPr>
          <w:rFonts w:hint="eastAsia" w:eastAsia="黑体"/>
          <w:color w:val="000000"/>
        </w:rPr>
        <w:t>第三部分 名词解释</w:t>
      </w:r>
      <w:bookmarkEnd w:id="73"/>
      <w:bookmarkEnd w:id="74"/>
      <w:bookmarkEnd w:id="75"/>
    </w:p>
    <w:p>
      <w:pPr>
        <w:adjustRightInd w:val="0"/>
        <w:snapToGrid w:val="0"/>
        <w:spacing w:line="600" w:lineRule="exact"/>
        <w:ind w:firstLine="643" w:firstLineChars="200"/>
        <w:rPr>
          <w:rFonts w:ascii="仿宋" w:hAnsi="仿宋" w:eastAsia="仿宋" w:cs="仿宋"/>
          <w:b/>
          <w:bCs/>
          <w:sz w:val="32"/>
          <w:szCs w:val="32"/>
        </w:rPr>
      </w:pPr>
      <w:bookmarkStart w:id="76" w:name="_Toc15377226"/>
      <w:r>
        <w:rPr>
          <w:rFonts w:hint="eastAsia" w:ascii="仿宋" w:hAnsi="仿宋" w:eastAsia="仿宋" w:cs="仿宋"/>
          <w:b/>
          <w:bCs/>
          <w:sz w:val="32"/>
          <w:szCs w:val="32"/>
        </w:rPr>
        <w:t>1. 财政拨款收入：指省级财政当年拨付的资金。</w:t>
      </w:r>
    </w:p>
    <w:p>
      <w:pPr>
        <w:adjustRightInd w:val="0"/>
        <w:snapToGrid w:val="0"/>
        <w:spacing w:line="600" w:lineRule="exact"/>
        <w:ind w:firstLine="643" w:firstLineChars="200"/>
        <w:rPr>
          <w:rFonts w:ascii="仿宋" w:hAnsi="仿宋" w:eastAsia="仿宋" w:cs="仿宋"/>
          <w:b/>
          <w:bCs/>
          <w:sz w:val="32"/>
          <w:szCs w:val="32"/>
        </w:rPr>
      </w:pPr>
      <w:r>
        <w:rPr>
          <w:rFonts w:hint="eastAsia" w:ascii="仿宋" w:hAnsi="仿宋" w:eastAsia="仿宋" w:cs="仿宋"/>
          <w:b/>
          <w:bCs/>
          <w:sz w:val="32"/>
          <w:szCs w:val="32"/>
        </w:rPr>
        <w:t>2. 基本支出：指为保障机构正常运转、完成日常工作任务而发生的人员支出和公用支出。</w:t>
      </w:r>
    </w:p>
    <w:p>
      <w:pPr>
        <w:adjustRightInd w:val="0"/>
        <w:snapToGrid w:val="0"/>
        <w:spacing w:line="600" w:lineRule="exact"/>
        <w:ind w:firstLine="643" w:firstLineChars="200"/>
        <w:rPr>
          <w:rFonts w:ascii="仿宋" w:hAnsi="仿宋" w:eastAsia="仿宋" w:cs="仿宋"/>
          <w:b/>
          <w:bCs/>
          <w:sz w:val="32"/>
          <w:szCs w:val="32"/>
        </w:rPr>
      </w:pPr>
      <w:r>
        <w:rPr>
          <w:rFonts w:hint="eastAsia" w:ascii="仿宋" w:hAnsi="仿宋" w:eastAsia="仿宋" w:cs="仿宋"/>
          <w:b/>
          <w:bCs/>
          <w:sz w:val="32"/>
          <w:szCs w:val="32"/>
        </w:rPr>
        <w:t>3. 项目支出：指在基本支出之外为完成特定行政任务和事业发展目标所发生的支出。</w:t>
      </w:r>
    </w:p>
    <w:p>
      <w:pPr>
        <w:adjustRightInd w:val="0"/>
        <w:snapToGrid w:val="0"/>
        <w:spacing w:line="600" w:lineRule="exact"/>
        <w:ind w:firstLine="643" w:firstLineChars="200"/>
        <w:rPr>
          <w:rFonts w:ascii="仿宋" w:hAnsi="仿宋" w:eastAsia="仿宋" w:cs="仿宋"/>
          <w:b/>
          <w:bCs/>
          <w:sz w:val="32"/>
          <w:szCs w:val="32"/>
        </w:rPr>
      </w:pPr>
      <w:r>
        <w:rPr>
          <w:rFonts w:hint="eastAsia" w:ascii="仿宋" w:hAnsi="仿宋" w:eastAsia="仿宋" w:cs="仿宋"/>
          <w:b/>
          <w:bCs/>
          <w:sz w:val="32"/>
          <w:szCs w:val="32"/>
        </w:rPr>
        <w:t>4. “三公”经费：指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车辆购置支出（含车辆购置税）及租用费、燃料费、维修费、过路过桥费、保险费、安全奖励费用等支出；公务接待费反映单位按规定开支的各类公务接待支出。</w:t>
      </w:r>
    </w:p>
    <w:p>
      <w:pPr>
        <w:pStyle w:val="21"/>
        <w:spacing w:line="560" w:lineRule="exact"/>
        <w:ind w:firstLine="643" w:firstLineChars="200"/>
        <w:rPr>
          <w:rFonts w:hAnsi="仿宋"/>
          <w:b/>
          <w:bCs/>
          <w:color w:val="auto"/>
          <w:kern w:val="2"/>
          <w:sz w:val="32"/>
          <w:szCs w:val="32"/>
        </w:rPr>
      </w:pPr>
      <w:r>
        <w:rPr>
          <w:rFonts w:hint="eastAsia" w:hAnsi="仿宋"/>
          <w:b/>
          <w:bCs/>
          <w:color w:val="auto"/>
          <w:kern w:val="2"/>
          <w:sz w:val="32"/>
          <w:szCs w:val="32"/>
        </w:rPr>
        <w:t>5. 机关运行经费：为保障行政单位（含参照公务员法管理的事业单位）运行用于购买货物和服务的各项资金，包括办公及印刷费、邮电费、差旅费、会议费、福利费、日常维修费、专用材料及一般设备购置费、办公用房水电费、办公用房取暖费、办公用房物业管理费、公务用车运行维护费以及其他费用。</w:t>
      </w:r>
    </w:p>
    <w:p>
      <w:pPr>
        <w:adjustRightInd w:val="0"/>
        <w:snapToGrid w:val="0"/>
        <w:spacing w:line="600" w:lineRule="exact"/>
        <w:ind w:firstLine="643" w:firstLineChars="200"/>
        <w:rPr>
          <w:rFonts w:ascii="仿宋" w:hAnsi="仿宋" w:eastAsia="仿宋" w:cs="仿宋"/>
          <w:b/>
          <w:bCs/>
          <w:sz w:val="32"/>
          <w:szCs w:val="32"/>
        </w:rPr>
      </w:pPr>
      <w:r>
        <w:rPr>
          <w:rFonts w:hint="eastAsia" w:ascii="仿宋" w:hAnsi="仿宋" w:eastAsia="仿宋" w:cs="仿宋"/>
          <w:b/>
          <w:bCs/>
          <w:sz w:val="32"/>
          <w:szCs w:val="32"/>
        </w:rPr>
        <w:t>6. 一般公共服务支出（类）党委办公厅（室）及相关机构事务（款）行政运行（项）：反映行政单位（包括实行公务员管理的事业单位）的基本支出。</w:t>
      </w:r>
    </w:p>
    <w:p>
      <w:pPr>
        <w:adjustRightInd w:val="0"/>
        <w:snapToGrid w:val="0"/>
        <w:spacing w:line="600" w:lineRule="exact"/>
        <w:ind w:firstLine="643" w:firstLineChars="200"/>
        <w:rPr>
          <w:rFonts w:ascii="仿宋" w:hAnsi="仿宋" w:eastAsia="仿宋" w:cs="仿宋"/>
          <w:b/>
          <w:bCs/>
          <w:sz w:val="32"/>
          <w:szCs w:val="32"/>
        </w:rPr>
      </w:pPr>
      <w:r>
        <w:rPr>
          <w:rFonts w:hint="eastAsia" w:ascii="仿宋" w:hAnsi="仿宋" w:eastAsia="仿宋" w:cs="仿宋"/>
          <w:b/>
          <w:bCs/>
          <w:sz w:val="32"/>
          <w:szCs w:val="32"/>
        </w:rPr>
        <w:t>7. 社会保障和就业支出（类）行政事业单位养老支出（款）机关事业单位基本养老保险缴费支出（项）：反映机关事业单位实施养老保险制度由单位缴纳的基本养老保险费支出。</w:t>
      </w:r>
    </w:p>
    <w:p>
      <w:pPr>
        <w:adjustRightInd w:val="0"/>
        <w:snapToGrid w:val="0"/>
        <w:spacing w:line="600" w:lineRule="exact"/>
        <w:ind w:firstLine="643" w:firstLineChars="200"/>
        <w:rPr>
          <w:rFonts w:ascii="仿宋" w:hAnsi="仿宋" w:eastAsia="仿宋" w:cs="仿宋"/>
          <w:b/>
          <w:bCs/>
          <w:sz w:val="32"/>
          <w:szCs w:val="32"/>
        </w:rPr>
      </w:pPr>
      <w:r>
        <w:rPr>
          <w:rFonts w:hint="eastAsia" w:ascii="仿宋" w:hAnsi="仿宋" w:eastAsia="仿宋" w:cs="仿宋"/>
          <w:b/>
          <w:bCs/>
          <w:sz w:val="32"/>
          <w:szCs w:val="32"/>
        </w:rPr>
        <w:t>8．卫生健康支出（类）行政事业单位医疗（款）行政单位医疗（项）：反映财政部安排的行政单位（包括实行公务员管理的事业单位）基本医疗保险缴费经费。</w:t>
      </w:r>
    </w:p>
    <w:p>
      <w:pPr>
        <w:adjustRightInd w:val="0"/>
        <w:snapToGrid w:val="0"/>
        <w:spacing w:line="600" w:lineRule="exact"/>
        <w:ind w:firstLine="643" w:firstLineChars="200"/>
        <w:rPr>
          <w:rFonts w:ascii="仿宋" w:hAnsi="仿宋" w:eastAsia="仿宋" w:cs="仿宋"/>
          <w:b/>
          <w:bCs/>
          <w:sz w:val="32"/>
          <w:szCs w:val="32"/>
        </w:rPr>
      </w:pPr>
      <w:r>
        <w:rPr>
          <w:rFonts w:hint="eastAsia" w:ascii="仿宋" w:hAnsi="仿宋" w:eastAsia="仿宋" w:cs="仿宋"/>
          <w:b/>
          <w:bCs/>
          <w:sz w:val="32"/>
          <w:szCs w:val="32"/>
        </w:rPr>
        <w:t>9．卫生健康支出（类）行政事业单位医疗（款）公务员医疗补助（项）：反映财政部安排的公务员医疗补助经费。</w:t>
      </w:r>
    </w:p>
    <w:p>
      <w:pPr>
        <w:adjustRightInd w:val="0"/>
        <w:snapToGrid w:val="0"/>
        <w:spacing w:line="600" w:lineRule="exact"/>
        <w:ind w:firstLine="643" w:firstLineChars="200"/>
        <w:rPr>
          <w:rFonts w:ascii="仿宋" w:hAnsi="仿宋" w:eastAsia="仿宋" w:cs="仿宋"/>
          <w:b/>
          <w:bCs/>
          <w:sz w:val="32"/>
          <w:szCs w:val="32"/>
        </w:rPr>
      </w:pPr>
      <w:r>
        <w:rPr>
          <w:rFonts w:hint="eastAsia" w:ascii="仿宋" w:hAnsi="仿宋" w:eastAsia="仿宋" w:cs="仿宋"/>
          <w:b/>
          <w:bCs/>
          <w:sz w:val="32"/>
          <w:szCs w:val="32"/>
        </w:rPr>
        <w:t>10．住房保障支出（类）住房改革支出（款）住房公积金（项）：反映行政事业单位按人力资源和社会保障部、财政部规定的基本工资和津贴补贴以及规定比例为职工缴纳的住房公积金。</w:t>
      </w:r>
    </w:p>
    <w:p>
      <w:pPr>
        <w:adjustRightInd w:val="0"/>
        <w:snapToGrid w:val="0"/>
        <w:spacing w:line="600" w:lineRule="exact"/>
        <w:ind w:firstLine="643" w:firstLineChars="200"/>
        <w:rPr>
          <w:rFonts w:ascii="仿宋" w:hAnsi="仿宋" w:eastAsia="仿宋" w:cs="仿宋"/>
          <w:b/>
          <w:bCs/>
          <w:sz w:val="32"/>
          <w:szCs w:val="32"/>
        </w:rPr>
      </w:pPr>
      <w:r>
        <w:rPr>
          <w:rFonts w:hint="eastAsia" w:ascii="仿宋" w:hAnsi="仿宋" w:eastAsia="仿宋" w:cs="仿宋"/>
          <w:b/>
          <w:bCs/>
          <w:sz w:val="32"/>
          <w:szCs w:val="32"/>
        </w:rPr>
        <w:t>11．住房保障支出（类）住房改革支出（款）购房补贴（项）：反映按房改政策规定的标准，行政事业单位向符合条件职工发放的用于购买住房的补贴。</w:t>
      </w:r>
    </w:p>
    <w:p>
      <w:pPr>
        <w:adjustRightInd w:val="0"/>
        <w:snapToGrid w:val="0"/>
        <w:spacing w:line="600" w:lineRule="exact"/>
        <w:ind w:firstLine="643" w:firstLineChars="200"/>
        <w:rPr>
          <w:rFonts w:ascii="仿宋" w:hAnsi="仿宋" w:eastAsia="仿宋" w:cs="仿宋"/>
          <w:b/>
          <w:bCs/>
          <w:sz w:val="32"/>
          <w:szCs w:val="32"/>
        </w:rPr>
      </w:pPr>
    </w:p>
    <w:p>
      <w:pPr>
        <w:adjustRightInd w:val="0"/>
        <w:snapToGrid w:val="0"/>
        <w:spacing w:line="600" w:lineRule="exact"/>
        <w:ind w:firstLine="643" w:firstLineChars="200"/>
        <w:rPr>
          <w:rFonts w:ascii="仿宋" w:hAnsi="仿宋" w:eastAsia="仿宋" w:cs="仿宋"/>
          <w:b/>
          <w:bCs/>
          <w:sz w:val="32"/>
          <w:szCs w:val="32"/>
        </w:rPr>
      </w:pPr>
    </w:p>
    <w:p>
      <w:pPr>
        <w:adjustRightInd w:val="0"/>
        <w:snapToGrid w:val="0"/>
        <w:spacing w:line="600" w:lineRule="exact"/>
        <w:ind w:firstLine="643" w:firstLineChars="200"/>
        <w:rPr>
          <w:rFonts w:ascii="仿宋" w:hAnsi="仿宋" w:eastAsia="仿宋" w:cs="仿宋"/>
          <w:b/>
          <w:bCs/>
          <w:sz w:val="32"/>
          <w:szCs w:val="32"/>
        </w:rPr>
      </w:pPr>
    </w:p>
    <w:p>
      <w:pPr>
        <w:adjustRightInd w:val="0"/>
        <w:snapToGrid w:val="0"/>
        <w:spacing w:line="360" w:lineRule="auto"/>
        <w:jc w:val="center"/>
        <w:outlineLvl w:val="0"/>
        <w:rPr>
          <w:rStyle w:val="23"/>
        </w:rPr>
      </w:pPr>
    </w:p>
    <w:p>
      <w:pPr>
        <w:adjustRightInd w:val="0"/>
        <w:snapToGrid w:val="0"/>
        <w:spacing w:line="360" w:lineRule="auto"/>
        <w:outlineLvl w:val="0"/>
        <w:rPr>
          <w:rStyle w:val="23"/>
        </w:rPr>
      </w:pPr>
    </w:p>
    <w:p>
      <w:pPr>
        <w:adjustRightInd w:val="0"/>
        <w:snapToGrid w:val="0"/>
        <w:spacing w:line="360" w:lineRule="auto"/>
        <w:outlineLvl w:val="0"/>
        <w:rPr>
          <w:rStyle w:val="23"/>
        </w:rPr>
      </w:pPr>
    </w:p>
    <w:p>
      <w:pPr>
        <w:pStyle w:val="3"/>
        <w:adjustRightInd w:val="0"/>
        <w:snapToGrid w:val="0"/>
        <w:spacing w:after="0" w:line="600" w:lineRule="exact"/>
        <w:jc w:val="center"/>
        <w:rPr>
          <w:rStyle w:val="23"/>
          <w:rFonts w:eastAsia="黑体"/>
          <w:b w:val="0"/>
          <w:bCs w:val="0"/>
        </w:rPr>
      </w:pPr>
      <w:bookmarkStart w:id="77" w:name="_Toc9207"/>
      <w:r>
        <w:rPr>
          <w:rStyle w:val="23"/>
          <w:rFonts w:hint="eastAsia" w:eastAsia="黑体"/>
          <w:b/>
          <w:bCs w:val="0"/>
        </w:rPr>
        <w:t>第四部分 附件</w:t>
      </w:r>
      <w:bookmarkEnd w:id="77"/>
    </w:p>
    <w:p>
      <w:pPr>
        <w:spacing w:line="600" w:lineRule="exact"/>
        <w:jc w:val="center"/>
        <w:rPr>
          <w:rFonts w:ascii="方正小标宋简体" w:hAnsi="宋体" w:eastAsia="方正小标宋简体"/>
          <w:kern w:val="0"/>
          <w:sz w:val="44"/>
          <w:szCs w:val="44"/>
          <w:lang w:val="zh-CN"/>
        </w:rPr>
      </w:pPr>
    </w:p>
    <w:p>
      <w:pPr>
        <w:spacing w:line="600" w:lineRule="exact"/>
        <w:jc w:val="center"/>
        <w:rPr>
          <w:rFonts w:ascii="方正小标宋简体" w:hAnsi="宋体" w:eastAsia="方正小标宋简体"/>
          <w:b/>
          <w:bCs/>
          <w:kern w:val="0"/>
          <w:sz w:val="44"/>
          <w:szCs w:val="44"/>
          <w:lang w:val="zh-CN"/>
        </w:rPr>
      </w:pPr>
      <w:r>
        <w:rPr>
          <w:rFonts w:hint="eastAsia" w:ascii="方正小标宋简体" w:hAnsi="宋体" w:eastAsia="方正小标宋简体"/>
          <w:b/>
          <w:bCs/>
          <w:kern w:val="0"/>
          <w:sz w:val="44"/>
          <w:szCs w:val="44"/>
          <w:lang w:val="zh-CN"/>
        </w:rPr>
        <w:t>202</w:t>
      </w:r>
      <w:r>
        <w:rPr>
          <w:rFonts w:hint="eastAsia" w:ascii="方正小标宋简体" w:hAnsi="宋体" w:eastAsia="方正小标宋简体"/>
          <w:b/>
          <w:bCs/>
          <w:kern w:val="0"/>
          <w:sz w:val="44"/>
          <w:szCs w:val="44"/>
        </w:rPr>
        <w:t>0</w:t>
      </w:r>
      <w:r>
        <w:rPr>
          <w:rFonts w:hint="eastAsia" w:ascii="方正小标宋简体" w:hAnsi="宋体" w:eastAsia="方正小标宋简体"/>
          <w:b/>
          <w:bCs/>
          <w:kern w:val="0"/>
          <w:sz w:val="44"/>
          <w:szCs w:val="44"/>
          <w:lang w:val="zh-CN"/>
        </w:rPr>
        <w:t>年省委办公厅互联网信息中心</w:t>
      </w:r>
    </w:p>
    <w:p>
      <w:pPr>
        <w:spacing w:line="600" w:lineRule="exact"/>
        <w:jc w:val="center"/>
        <w:rPr>
          <w:rFonts w:ascii="方正小标宋简体" w:hAnsi="宋体" w:eastAsia="方正小标宋简体"/>
          <w:b/>
          <w:bCs/>
          <w:kern w:val="0"/>
          <w:sz w:val="44"/>
          <w:szCs w:val="44"/>
          <w:lang w:val="zh-CN"/>
        </w:rPr>
      </w:pPr>
      <w:r>
        <w:rPr>
          <w:rFonts w:hint="eastAsia" w:ascii="方正小标宋简体" w:hAnsi="宋体" w:eastAsia="方正小标宋简体"/>
          <w:b/>
          <w:bCs/>
          <w:kern w:val="0"/>
          <w:sz w:val="44"/>
          <w:szCs w:val="44"/>
          <w:lang w:val="zh-CN"/>
        </w:rPr>
        <w:t>项目支出绩效自评报告</w:t>
      </w:r>
    </w:p>
    <w:p>
      <w:pPr>
        <w:adjustRightInd w:val="0"/>
        <w:snapToGrid w:val="0"/>
        <w:spacing w:line="600" w:lineRule="exact"/>
        <w:ind w:firstLine="643" w:firstLineChars="200"/>
        <w:jc w:val="center"/>
        <w:rPr>
          <w:rFonts w:ascii="仿宋" w:hAnsi="仿宋" w:eastAsia="仿宋" w:cs="仿宋"/>
          <w:b/>
          <w:color w:val="000000"/>
          <w:kern w:val="0"/>
          <w:sz w:val="32"/>
          <w:szCs w:val="32"/>
        </w:rPr>
      </w:pPr>
      <w:r>
        <w:rPr>
          <w:rFonts w:hint="eastAsia" w:ascii="楷体" w:hAnsi="楷体" w:eastAsia="楷体" w:cs="楷体"/>
          <w:b/>
          <w:color w:val="000000"/>
          <w:kern w:val="0"/>
          <w:sz w:val="32"/>
          <w:szCs w:val="32"/>
        </w:rPr>
        <w:t>（文稿信息编审费）</w:t>
      </w:r>
    </w:p>
    <w:p>
      <w:pPr>
        <w:adjustRightInd w:val="0"/>
        <w:snapToGrid w:val="0"/>
        <w:spacing w:line="600" w:lineRule="exact"/>
        <w:ind w:firstLine="643" w:firstLineChars="200"/>
        <w:rPr>
          <w:rFonts w:ascii="黑体" w:hAnsi="黑体" w:eastAsia="黑体" w:cs="黑体"/>
          <w:b/>
          <w:color w:val="000000"/>
          <w:kern w:val="0"/>
          <w:sz w:val="32"/>
          <w:szCs w:val="32"/>
        </w:rPr>
      </w:pPr>
      <w:r>
        <w:rPr>
          <w:rFonts w:hint="eastAsia" w:ascii="黑体" w:hAnsi="黑体" w:eastAsia="黑体" w:cs="黑体"/>
          <w:b/>
          <w:color w:val="000000"/>
          <w:kern w:val="0"/>
          <w:sz w:val="32"/>
          <w:szCs w:val="32"/>
        </w:rPr>
        <w:t>一、基本情况</w:t>
      </w:r>
    </w:p>
    <w:p>
      <w:pPr>
        <w:adjustRightInd w:val="0"/>
        <w:snapToGrid w:val="0"/>
        <w:spacing w:line="600" w:lineRule="exact"/>
        <w:ind w:firstLine="643" w:firstLineChars="200"/>
        <w:rPr>
          <w:rFonts w:ascii="楷体" w:hAnsi="楷体" w:eastAsia="楷体" w:cs="楷体"/>
          <w:b/>
          <w:color w:val="000000"/>
          <w:kern w:val="0"/>
          <w:sz w:val="32"/>
          <w:szCs w:val="32"/>
        </w:rPr>
      </w:pPr>
      <w:r>
        <w:rPr>
          <w:rFonts w:hint="eastAsia" w:ascii="楷体" w:hAnsi="楷体" w:eastAsia="楷体" w:cs="楷体"/>
          <w:b/>
          <w:color w:val="000000"/>
          <w:kern w:val="0"/>
          <w:sz w:val="32"/>
          <w:szCs w:val="32"/>
        </w:rPr>
        <w:t>（一）项目概况</w:t>
      </w:r>
    </w:p>
    <w:p>
      <w:pPr>
        <w:adjustRightInd w:val="0"/>
        <w:snapToGrid w:val="0"/>
        <w:spacing w:line="600" w:lineRule="exact"/>
        <w:ind w:firstLine="643" w:firstLineChars="200"/>
        <w:rPr>
          <w:rFonts w:ascii="仿宋" w:hAnsi="仿宋" w:eastAsia="仿宋" w:cs="仿宋"/>
          <w:b/>
          <w:color w:val="000000"/>
          <w:kern w:val="0"/>
          <w:sz w:val="32"/>
          <w:szCs w:val="32"/>
        </w:rPr>
      </w:pPr>
      <w:r>
        <w:rPr>
          <w:rFonts w:hint="eastAsia" w:ascii="仿宋" w:hAnsi="仿宋" w:eastAsia="仿宋" w:cs="仿宋"/>
          <w:b/>
          <w:color w:val="000000"/>
          <w:kern w:val="0"/>
          <w:sz w:val="32"/>
          <w:szCs w:val="32"/>
        </w:rPr>
        <w:t>该项目名称为文稿信息编审费，主要用于保障省委互联网信息服务工作。</w:t>
      </w:r>
    </w:p>
    <w:p>
      <w:pPr>
        <w:adjustRightInd w:val="0"/>
        <w:snapToGrid w:val="0"/>
        <w:spacing w:line="600" w:lineRule="exact"/>
        <w:ind w:firstLine="643" w:firstLineChars="200"/>
        <w:rPr>
          <w:rFonts w:ascii="楷体" w:hAnsi="楷体" w:eastAsia="楷体" w:cs="楷体"/>
          <w:b/>
          <w:color w:val="000000"/>
          <w:kern w:val="0"/>
          <w:sz w:val="32"/>
          <w:szCs w:val="32"/>
        </w:rPr>
      </w:pPr>
      <w:r>
        <w:rPr>
          <w:rFonts w:hint="eastAsia" w:ascii="楷体" w:hAnsi="楷体" w:eastAsia="楷体" w:cs="楷体"/>
          <w:b/>
          <w:color w:val="000000"/>
          <w:kern w:val="0"/>
          <w:sz w:val="32"/>
          <w:szCs w:val="32"/>
        </w:rPr>
        <w:t>（二）项目实施情况</w:t>
      </w:r>
    </w:p>
    <w:p>
      <w:pPr>
        <w:adjustRightInd w:val="0"/>
        <w:snapToGrid w:val="0"/>
        <w:spacing w:line="600" w:lineRule="exact"/>
        <w:ind w:firstLine="643" w:firstLineChars="200"/>
        <w:rPr>
          <w:rFonts w:ascii="仿宋" w:hAnsi="仿宋" w:eastAsia="仿宋" w:cs="仿宋"/>
          <w:b/>
          <w:color w:val="000000"/>
          <w:kern w:val="0"/>
          <w:sz w:val="32"/>
          <w:szCs w:val="32"/>
        </w:rPr>
      </w:pPr>
      <w:r>
        <w:rPr>
          <w:rFonts w:hint="eastAsia" w:ascii="仿宋" w:hAnsi="仿宋" w:eastAsia="仿宋" w:cs="仿宋"/>
          <w:b/>
          <w:color w:val="000000"/>
          <w:kern w:val="0"/>
          <w:sz w:val="32"/>
          <w:szCs w:val="32"/>
        </w:rPr>
        <w:t>2020年项目实施单位圆满完成全年目标任务，一年来，累计编报《网情摘报》164期、《参阅信息》91期，合作编报《每日要情》249期，同时，积极做好其他交办工作。</w:t>
      </w:r>
    </w:p>
    <w:p>
      <w:pPr>
        <w:adjustRightInd w:val="0"/>
        <w:snapToGrid w:val="0"/>
        <w:spacing w:line="600" w:lineRule="exact"/>
        <w:ind w:firstLine="643" w:firstLineChars="200"/>
        <w:rPr>
          <w:rFonts w:ascii="楷体" w:hAnsi="楷体" w:eastAsia="楷体" w:cs="楷体"/>
          <w:b/>
          <w:color w:val="000000"/>
          <w:kern w:val="0"/>
          <w:sz w:val="32"/>
          <w:szCs w:val="32"/>
        </w:rPr>
      </w:pPr>
      <w:r>
        <w:rPr>
          <w:rFonts w:hint="eastAsia" w:ascii="楷体" w:hAnsi="楷体" w:eastAsia="楷体" w:cs="楷体"/>
          <w:b/>
          <w:color w:val="000000"/>
          <w:kern w:val="0"/>
          <w:sz w:val="32"/>
          <w:szCs w:val="32"/>
        </w:rPr>
        <w:t>（三）资金使用及绩效情况</w:t>
      </w:r>
    </w:p>
    <w:p>
      <w:pPr>
        <w:adjustRightInd w:val="0"/>
        <w:snapToGrid w:val="0"/>
        <w:spacing w:line="600" w:lineRule="exact"/>
        <w:ind w:firstLine="643" w:firstLineChars="200"/>
        <w:rPr>
          <w:rFonts w:ascii="仿宋" w:hAnsi="仿宋" w:eastAsia="仿宋" w:cs="仿宋"/>
          <w:b/>
          <w:color w:val="000000"/>
          <w:kern w:val="0"/>
          <w:sz w:val="32"/>
          <w:szCs w:val="32"/>
        </w:rPr>
      </w:pPr>
      <w:r>
        <w:rPr>
          <w:rFonts w:hint="eastAsia" w:ascii="仿宋" w:hAnsi="仿宋" w:eastAsia="仿宋" w:cs="仿宋"/>
          <w:b/>
          <w:color w:val="000000"/>
          <w:kern w:val="0"/>
          <w:sz w:val="32"/>
          <w:szCs w:val="32"/>
        </w:rPr>
        <w:t>2020年该项目经费预算为45万元，实际支出45万元，预算执行率为100%。</w:t>
      </w:r>
    </w:p>
    <w:p>
      <w:pPr>
        <w:adjustRightInd w:val="0"/>
        <w:snapToGrid w:val="0"/>
        <w:spacing w:line="600" w:lineRule="exact"/>
        <w:ind w:firstLine="643" w:firstLineChars="200"/>
        <w:rPr>
          <w:rFonts w:ascii="黑体" w:hAnsi="黑体" w:eastAsia="黑体" w:cs="黑体"/>
          <w:b/>
          <w:color w:val="000000"/>
          <w:kern w:val="0"/>
          <w:sz w:val="32"/>
          <w:szCs w:val="32"/>
        </w:rPr>
      </w:pPr>
      <w:r>
        <w:rPr>
          <w:rFonts w:hint="eastAsia" w:ascii="黑体" w:hAnsi="黑体" w:eastAsia="黑体" w:cs="黑体"/>
          <w:b/>
          <w:color w:val="000000"/>
          <w:kern w:val="0"/>
          <w:sz w:val="32"/>
          <w:szCs w:val="32"/>
        </w:rPr>
        <w:t>二、绩效评价</w:t>
      </w:r>
    </w:p>
    <w:p>
      <w:pPr>
        <w:adjustRightInd w:val="0"/>
        <w:snapToGrid w:val="0"/>
        <w:spacing w:line="600" w:lineRule="exact"/>
        <w:ind w:firstLine="643" w:firstLineChars="200"/>
        <w:rPr>
          <w:rFonts w:ascii="仿宋" w:hAnsi="仿宋" w:eastAsia="仿宋" w:cs="仿宋"/>
          <w:b/>
          <w:bCs/>
          <w:sz w:val="32"/>
          <w:szCs w:val="32"/>
        </w:rPr>
      </w:pPr>
      <w:r>
        <w:rPr>
          <w:rFonts w:hint="eastAsia" w:ascii="仿宋" w:hAnsi="仿宋" w:eastAsia="仿宋" w:cs="仿宋"/>
          <w:b/>
          <w:bCs/>
          <w:sz w:val="32"/>
          <w:szCs w:val="32"/>
        </w:rPr>
        <w:t>一是突出“紧扣紧盯”，践行信息服务责任担当。重点跟进新冠肺炎疫情防控头等大事，针对国内疫情初期防控形势，积极打好提前量和主动仗，梳理报送相关信息80余篇；国内疫情进入常态化防控阶段后，持续反映有关疫情防控最新信息。聚焦脱贫攻坚、全省镇村“两项改革”等重大决策部署，先后围绕全面脱贫与乡村振兴有效衔接、培育中心镇特色镇等主题，梳理研报相关信息40余篇。持续关注冬春防火、夏季防汛、年末岁尾保民生等特殊时期重点任务，及时梳理研报有关信息。</w:t>
      </w:r>
    </w:p>
    <w:p>
      <w:pPr>
        <w:adjustRightInd w:val="0"/>
        <w:snapToGrid w:val="0"/>
        <w:spacing w:line="600" w:lineRule="exact"/>
        <w:ind w:firstLine="643" w:firstLineChars="200"/>
        <w:rPr>
          <w:rFonts w:ascii="仿宋" w:hAnsi="仿宋" w:eastAsia="仿宋" w:cs="仿宋"/>
          <w:b/>
          <w:bCs/>
          <w:sz w:val="32"/>
          <w:szCs w:val="32"/>
        </w:rPr>
      </w:pPr>
      <w:r>
        <w:rPr>
          <w:rFonts w:hint="eastAsia" w:ascii="仿宋" w:hAnsi="仿宋" w:eastAsia="仿宋" w:cs="仿宋"/>
          <w:b/>
          <w:bCs/>
          <w:sz w:val="32"/>
          <w:szCs w:val="32"/>
        </w:rPr>
        <w:t>二是突出“急知急办”，发挥信息服务前哨作用。涉川重要舆情方面，重点围绕川内舆论焦点，及时收集群众身边的操心事、烦心事和揪心事，强化舆情响应，及时做到涉川重要敏感舆情信息早发现、早梳理、早上报，助力服务基层、服务民生。国内一些突发敏感事件方面，结合我省实际举一反三进行关联分析研判，及时梳理报送有关信息。</w:t>
      </w:r>
    </w:p>
    <w:p>
      <w:pPr>
        <w:adjustRightInd w:val="0"/>
        <w:snapToGrid w:val="0"/>
        <w:spacing w:line="600" w:lineRule="exact"/>
        <w:ind w:firstLine="643" w:firstLineChars="200"/>
        <w:rPr>
          <w:rFonts w:ascii="仿宋" w:hAnsi="仿宋" w:eastAsia="仿宋" w:cs="仿宋"/>
          <w:b/>
          <w:bCs/>
          <w:sz w:val="32"/>
          <w:szCs w:val="32"/>
        </w:rPr>
      </w:pPr>
      <w:r>
        <w:rPr>
          <w:rFonts w:hint="eastAsia" w:ascii="仿宋" w:hAnsi="仿宋" w:eastAsia="仿宋" w:cs="仿宋"/>
          <w:b/>
          <w:bCs/>
          <w:sz w:val="32"/>
          <w:szCs w:val="32"/>
        </w:rPr>
        <w:t>三是突出“新事新觉”，保持信息服务敏感敏锐。跟进关注国家层面重大改革试点和前瞻布局，结合省情实际，先后谋划编报基础设施REITs试点、国企改革三年行动计划等信息。持续关注行业领域发展“新风口”，跟进量子科技、新基建、国家实验室等新兴领域发展态势，着眼我省产业土壤、发展方向和对接重点梳理建议，累计报送相关信息30余篇。注重吸收发达地区新探索、新经验，及时关注梳理京津冀、长三角、粤港澳大湾区等发达地区重大动向，摘编有关创新举措。</w:t>
      </w:r>
    </w:p>
    <w:p>
      <w:pPr>
        <w:adjustRightInd w:val="0"/>
        <w:snapToGrid w:val="0"/>
        <w:spacing w:line="600" w:lineRule="exact"/>
        <w:ind w:firstLine="643" w:firstLineChars="200"/>
        <w:rPr>
          <w:rFonts w:ascii="仿宋" w:hAnsi="仿宋" w:eastAsia="仿宋" w:cs="仿宋"/>
          <w:b/>
          <w:bCs/>
          <w:sz w:val="32"/>
          <w:szCs w:val="32"/>
        </w:rPr>
      </w:pPr>
      <w:r>
        <w:rPr>
          <w:rFonts w:hint="eastAsia" w:ascii="仿宋" w:hAnsi="仿宋" w:eastAsia="仿宋" w:cs="仿宋"/>
          <w:b/>
          <w:bCs/>
          <w:sz w:val="32"/>
          <w:szCs w:val="32"/>
        </w:rPr>
        <w:t>四是突出“深挖深研”，提升信息服务资政价值。坚持系统观念和资政导向，集中梳理“十四五”发展重点任务建议，先后围绕科技创新、老龄事业、草原生态等方面，梳理系列专题信息。深入挖掘行业特点，围绕“5+1”现代工业、“10+3”现代农业、“4+6”现代服务业，分行业分领域编报有关信息。深入服务重大战略实施，聚焦成渝地区双城经济圈建设国家战略，梳理川渝携手打造“双循环”率先探索区、建设省级新区等多篇信息，为助推双城经济圈建设贡献信息力量。</w:t>
      </w:r>
    </w:p>
    <w:p>
      <w:pPr>
        <w:pStyle w:val="4"/>
        <w:adjustRightInd w:val="0"/>
        <w:snapToGrid w:val="0"/>
        <w:spacing w:before="0" w:after="0" w:line="600" w:lineRule="exact"/>
        <w:ind w:firstLine="643" w:firstLineChars="200"/>
        <w:rPr>
          <w:rFonts w:ascii="Times New Roman" w:hAnsi="Times New Roman" w:eastAsia="黑体" w:cs="Times New Roman"/>
          <w:color w:val="000000"/>
        </w:rPr>
        <w:sectPr>
          <w:pgSz w:w="11906" w:h="16838"/>
          <w:pgMar w:top="1440" w:right="1800" w:bottom="1440" w:left="1800" w:header="851" w:footer="992" w:gutter="0"/>
          <w:pgNumType w:start="1"/>
          <w:cols w:space="425" w:num="1"/>
          <w:docGrid w:type="lines" w:linePitch="312" w:charSpace="0"/>
        </w:sectPr>
      </w:pPr>
    </w:p>
    <w:p>
      <w:pPr>
        <w:pStyle w:val="3"/>
        <w:adjustRightInd w:val="0"/>
        <w:snapToGrid w:val="0"/>
        <w:spacing w:after="0" w:line="600" w:lineRule="exact"/>
        <w:jc w:val="center"/>
        <w:rPr>
          <w:b w:val="0"/>
          <w:bCs w:val="0"/>
          <w:color w:val="000000"/>
        </w:rPr>
      </w:pPr>
      <w:bookmarkStart w:id="78" w:name="_Toc22133"/>
      <w:bookmarkStart w:id="79" w:name="_Toc12158"/>
      <w:r>
        <w:rPr>
          <w:rFonts w:eastAsia="黑体"/>
        </w:rPr>
        <w:t>第五部分 附表</w:t>
      </w:r>
      <w:bookmarkEnd w:id="76"/>
      <w:bookmarkEnd w:id="78"/>
      <w:bookmarkEnd w:id="79"/>
    </w:p>
    <w:p>
      <w:pPr>
        <w:pStyle w:val="4"/>
        <w:adjustRightInd w:val="0"/>
        <w:snapToGrid w:val="0"/>
        <w:spacing w:before="0" w:after="0" w:line="600" w:lineRule="exact"/>
        <w:ind w:firstLine="643" w:firstLineChars="200"/>
        <w:rPr>
          <w:rFonts w:ascii="仿宋" w:hAnsi="仿宋" w:eastAsia="仿宋" w:cs="仿宋"/>
          <w:color w:val="000000"/>
        </w:rPr>
      </w:pPr>
      <w:bookmarkStart w:id="80" w:name="_Toc27919"/>
      <w:bookmarkStart w:id="81" w:name="_Toc23285"/>
      <w:r>
        <w:rPr>
          <w:rFonts w:hint="eastAsia" w:ascii="仿宋" w:hAnsi="仿宋" w:eastAsia="仿宋" w:cs="仿宋"/>
          <w:color w:val="000000"/>
        </w:rPr>
        <w:t>一、收入支出决算总表</w:t>
      </w:r>
      <w:bookmarkEnd w:id="80"/>
      <w:bookmarkEnd w:id="81"/>
    </w:p>
    <w:p>
      <w:pPr>
        <w:pStyle w:val="4"/>
        <w:adjustRightInd w:val="0"/>
        <w:snapToGrid w:val="0"/>
        <w:spacing w:before="0" w:after="0" w:line="600" w:lineRule="exact"/>
        <w:ind w:firstLine="643" w:firstLineChars="200"/>
        <w:rPr>
          <w:rFonts w:ascii="仿宋" w:hAnsi="仿宋" w:eastAsia="仿宋" w:cs="仿宋"/>
          <w:color w:val="000000"/>
        </w:rPr>
      </w:pPr>
      <w:bookmarkStart w:id="82" w:name="_Toc5888"/>
      <w:bookmarkStart w:id="83" w:name="_Toc9816"/>
      <w:r>
        <w:rPr>
          <w:rFonts w:hint="eastAsia" w:ascii="仿宋" w:hAnsi="仿宋" w:eastAsia="仿宋" w:cs="仿宋"/>
          <w:color w:val="000000"/>
        </w:rPr>
        <w:t>二、收入决算表</w:t>
      </w:r>
      <w:bookmarkEnd w:id="82"/>
      <w:bookmarkEnd w:id="83"/>
    </w:p>
    <w:p>
      <w:pPr>
        <w:pStyle w:val="4"/>
        <w:adjustRightInd w:val="0"/>
        <w:snapToGrid w:val="0"/>
        <w:spacing w:before="0" w:after="0" w:line="600" w:lineRule="exact"/>
        <w:ind w:firstLine="643" w:firstLineChars="200"/>
        <w:rPr>
          <w:rFonts w:ascii="仿宋" w:hAnsi="仿宋" w:eastAsia="仿宋" w:cs="仿宋"/>
          <w:color w:val="000000"/>
        </w:rPr>
      </w:pPr>
      <w:bookmarkStart w:id="84" w:name="_Toc14432"/>
      <w:bookmarkStart w:id="85" w:name="_Toc29448"/>
      <w:r>
        <w:rPr>
          <w:rFonts w:hint="eastAsia" w:ascii="仿宋" w:hAnsi="仿宋" w:eastAsia="仿宋" w:cs="仿宋"/>
          <w:color w:val="000000"/>
        </w:rPr>
        <w:t>三、支出决算表</w:t>
      </w:r>
      <w:bookmarkEnd w:id="84"/>
      <w:bookmarkEnd w:id="85"/>
    </w:p>
    <w:p>
      <w:pPr>
        <w:pStyle w:val="4"/>
        <w:adjustRightInd w:val="0"/>
        <w:snapToGrid w:val="0"/>
        <w:spacing w:before="0" w:after="0" w:line="600" w:lineRule="exact"/>
        <w:ind w:firstLine="643" w:firstLineChars="200"/>
        <w:rPr>
          <w:rFonts w:ascii="仿宋" w:hAnsi="仿宋" w:eastAsia="仿宋" w:cs="仿宋"/>
          <w:color w:val="000000"/>
        </w:rPr>
      </w:pPr>
      <w:bookmarkStart w:id="86" w:name="_Toc32089"/>
      <w:bookmarkStart w:id="87" w:name="_Toc30689"/>
      <w:r>
        <w:rPr>
          <w:rFonts w:hint="eastAsia" w:ascii="仿宋" w:hAnsi="仿宋" w:eastAsia="仿宋" w:cs="仿宋"/>
          <w:color w:val="000000"/>
        </w:rPr>
        <w:t>四、财政拨款收入支出决算总表</w:t>
      </w:r>
      <w:bookmarkEnd w:id="86"/>
      <w:bookmarkEnd w:id="87"/>
    </w:p>
    <w:p>
      <w:pPr>
        <w:pStyle w:val="4"/>
        <w:adjustRightInd w:val="0"/>
        <w:snapToGrid w:val="0"/>
        <w:spacing w:before="0" w:after="0" w:line="600" w:lineRule="exact"/>
        <w:ind w:firstLine="643" w:firstLineChars="200"/>
        <w:rPr>
          <w:rFonts w:ascii="仿宋" w:hAnsi="仿宋" w:eastAsia="仿宋" w:cs="仿宋"/>
          <w:color w:val="000000"/>
        </w:rPr>
      </w:pPr>
      <w:bookmarkStart w:id="88" w:name="_Toc24337"/>
      <w:bookmarkStart w:id="89" w:name="_Toc582"/>
      <w:r>
        <w:rPr>
          <w:rFonts w:hint="eastAsia" w:ascii="仿宋" w:hAnsi="仿宋" w:eastAsia="仿宋" w:cs="仿宋"/>
          <w:color w:val="000000"/>
        </w:rPr>
        <w:t>五、财政拨款支出决算明细表</w:t>
      </w:r>
      <w:bookmarkEnd w:id="88"/>
      <w:bookmarkEnd w:id="89"/>
    </w:p>
    <w:p>
      <w:pPr>
        <w:pStyle w:val="4"/>
        <w:adjustRightInd w:val="0"/>
        <w:snapToGrid w:val="0"/>
        <w:spacing w:before="0" w:after="0" w:line="600" w:lineRule="exact"/>
        <w:ind w:firstLine="643" w:firstLineChars="200"/>
        <w:rPr>
          <w:rFonts w:ascii="仿宋" w:hAnsi="仿宋" w:eastAsia="仿宋" w:cs="仿宋"/>
          <w:color w:val="000000"/>
        </w:rPr>
      </w:pPr>
      <w:bookmarkStart w:id="90" w:name="_Toc25652"/>
      <w:bookmarkStart w:id="91" w:name="_Toc19256"/>
      <w:r>
        <w:rPr>
          <w:rFonts w:hint="eastAsia" w:ascii="仿宋" w:hAnsi="仿宋" w:eastAsia="仿宋" w:cs="仿宋"/>
          <w:color w:val="000000"/>
        </w:rPr>
        <w:t>六、一般公共预算财政拨款支出决算表</w:t>
      </w:r>
      <w:bookmarkEnd w:id="90"/>
      <w:bookmarkEnd w:id="91"/>
    </w:p>
    <w:p>
      <w:pPr>
        <w:pStyle w:val="4"/>
        <w:adjustRightInd w:val="0"/>
        <w:snapToGrid w:val="0"/>
        <w:spacing w:before="0" w:after="0" w:line="600" w:lineRule="exact"/>
        <w:ind w:firstLine="643" w:firstLineChars="200"/>
        <w:rPr>
          <w:rFonts w:ascii="仿宋" w:hAnsi="仿宋" w:eastAsia="仿宋" w:cs="仿宋"/>
          <w:color w:val="000000"/>
        </w:rPr>
      </w:pPr>
      <w:bookmarkStart w:id="92" w:name="_Toc24920"/>
      <w:bookmarkStart w:id="93" w:name="_Toc24369"/>
      <w:r>
        <w:rPr>
          <w:rFonts w:hint="eastAsia" w:ascii="仿宋" w:hAnsi="仿宋" w:eastAsia="仿宋" w:cs="仿宋"/>
          <w:color w:val="000000"/>
        </w:rPr>
        <w:t>七、一般公共预算财政拨款支出决算明细表</w:t>
      </w:r>
      <w:bookmarkEnd w:id="92"/>
      <w:bookmarkEnd w:id="93"/>
    </w:p>
    <w:p>
      <w:pPr>
        <w:pStyle w:val="4"/>
        <w:adjustRightInd w:val="0"/>
        <w:snapToGrid w:val="0"/>
        <w:spacing w:before="0" w:after="0" w:line="600" w:lineRule="exact"/>
        <w:ind w:firstLine="643" w:firstLineChars="200"/>
        <w:rPr>
          <w:rFonts w:ascii="仿宋" w:hAnsi="仿宋" w:eastAsia="仿宋" w:cs="仿宋"/>
          <w:color w:val="000000"/>
        </w:rPr>
      </w:pPr>
      <w:bookmarkStart w:id="94" w:name="_Toc25080"/>
      <w:bookmarkStart w:id="95" w:name="_Toc8519"/>
      <w:r>
        <w:rPr>
          <w:rFonts w:hint="eastAsia" w:ascii="仿宋" w:hAnsi="仿宋" w:eastAsia="仿宋" w:cs="仿宋"/>
          <w:color w:val="000000"/>
        </w:rPr>
        <w:t>八、一般公共预算财政拨款基本支出决算表</w:t>
      </w:r>
      <w:bookmarkEnd w:id="94"/>
      <w:bookmarkEnd w:id="95"/>
    </w:p>
    <w:p>
      <w:pPr>
        <w:pStyle w:val="4"/>
        <w:adjustRightInd w:val="0"/>
        <w:snapToGrid w:val="0"/>
        <w:spacing w:before="0" w:after="0" w:line="600" w:lineRule="exact"/>
        <w:ind w:firstLine="643" w:firstLineChars="200"/>
        <w:rPr>
          <w:rFonts w:ascii="仿宋" w:hAnsi="仿宋" w:eastAsia="仿宋" w:cs="仿宋"/>
          <w:color w:val="000000"/>
        </w:rPr>
      </w:pPr>
      <w:bookmarkStart w:id="96" w:name="_Toc24289"/>
      <w:bookmarkStart w:id="97" w:name="_Toc16820"/>
      <w:r>
        <w:rPr>
          <w:rFonts w:hint="eastAsia" w:ascii="仿宋" w:hAnsi="仿宋" w:eastAsia="仿宋" w:cs="仿宋"/>
          <w:color w:val="000000"/>
        </w:rPr>
        <w:t>九、一般公共预算财政拨款项目支出决算表</w:t>
      </w:r>
      <w:bookmarkEnd w:id="96"/>
      <w:bookmarkEnd w:id="97"/>
    </w:p>
    <w:p>
      <w:pPr>
        <w:pStyle w:val="4"/>
        <w:adjustRightInd w:val="0"/>
        <w:snapToGrid w:val="0"/>
        <w:spacing w:before="0" w:after="0" w:line="600" w:lineRule="exact"/>
        <w:ind w:firstLine="643" w:firstLineChars="200"/>
        <w:rPr>
          <w:rFonts w:ascii="仿宋" w:hAnsi="仿宋" w:eastAsia="仿宋" w:cs="仿宋"/>
          <w:color w:val="000000"/>
        </w:rPr>
      </w:pPr>
      <w:bookmarkStart w:id="98" w:name="_Toc30460"/>
      <w:bookmarkStart w:id="99" w:name="_Toc19025"/>
      <w:r>
        <w:rPr>
          <w:rFonts w:hint="eastAsia" w:ascii="仿宋" w:hAnsi="仿宋" w:eastAsia="仿宋" w:cs="仿宋"/>
          <w:color w:val="000000"/>
        </w:rPr>
        <w:t>十、一般公共预算财政拨款“三公”经费支出决算表</w:t>
      </w:r>
      <w:bookmarkEnd w:id="98"/>
      <w:bookmarkEnd w:id="99"/>
    </w:p>
    <w:p>
      <w:pPr>
        <w:pStyle w:val="4"/>
        <w:adjustRightInd w:val="0"/>
        <w:snapToGrid w:val="0"/>
        <w:spacing w:before="0" w:after="0" w:line="600" w:lineRule="exact"/>
        <w:ind w:firstLine="643" w:firstLineChars="200"/>
        <w:rPr>
          <w:rFonts w:ascii="仿宋" w:hAnsi="仿宋" w:eastAsia="仿宋" w:cs="仿宋"/>
          <w:color w:val="000000"/>
        </w:rPr>
      </w:pPr>
      <w:bookmarkStart w:id="100" w:name="_Toc8348"/>
      <w:bookmarkStart w:id="101" w:name="_Toc22781"/>
      <w:r>
        <w:rPr>
          <w:rFonts w:hint="eastAsia" w:ascii="仿宋" w:hAnsi="仿宋" w:eastAsia="仿宋" w:cs="仿宋"/>
          <w:color w:val="000000"/>
        </w:rPr>
        <w:t>十一、政府性基金预算财政拨款收入支出决算表</w:t>
      </w:r>
      <w:bookmarkEnd w:id="100"/>
      <w:bookmarkEnd w:id="101"/>
    </w:p>
    <w:p>
      <w:pPr>
        <w:pStyle w:val="4"/>
        <w:adjustRightInd w:val="0"/>
        <w:snapToGrid w:val="0"/>
        <w:spacing w:before="0" w:after="0" w:line="600" w:lineRule="exact"/>
        <w:ind w:firstLine="563" w:firstLineChars="200"/>
        <w:rPr>
          <w:rFonts w:ascii="仿宋" w:hAnsi="仿宋" w:eastAsia="仿宋" w:cs="仿宋"/>
          <w:color w:val="000000"/>
          <w:spacing w:val="-20"/>
        </w:rPr>
      </w:pPr>
      <w:bookmarkStart w:id="102" w:name="_Toc12951"/>
      <w:bookmarkStart w:id="103" w:name="_Toc16605"/>
      <w:r>
        <w:rPr>
          <w:rFonts w:hint="eastAsia" w:ascii="仿宋" w:hAnsi="仿宋" w:eastAsia="仿宋" w:cs="仿宋"/>
          <w:color w:val="000000"/>
          <w:spacing w:val="-20"/>
        </w:rPr>
        <w:t>十二、政府性基金预算财政拨款“三公”经费支出决算表</w:t>
      </w:r>
      <w:bookmarkEnd w:id="102"/>
      <w:bookmarkEnd w:id="103"/>
    </w:p>
    <w:p>
      <w:pPr>
        <w:pStyle w:val="4"/>
        <w:adjustRightInd w:val="0"/>
        <w:snapToGrid w:val="0"/>
        <w:spacing w:before="0" w:after="0" w:line="600" w:lineRule="exact"/>
        <w:ind w:firstLine="643" w:firstLineChars="200"/>
        <w:rPr>
          <w:rFonts w:ascii="仿宋" w:hAnsi="仿宋" w:eastAsia="仿宋" w:cs="仿宋"/>
          <w:color w:val="000000"/>
        </w:rPr>
      </w:pPr>
      <w:bookmarkStart w:id="104" w:name="_Toc25090"/>
      <w:bookmarkStart w:id="105" w:name="_Toc25926"/>
      <w:r>
        <w:rPr>
          <w:rFonts w:hint="eastAsia" w:ascii="仿宋" w:hAnsi="仿宋" w:eastAsia="仿宋" w:cs="仿宋"/>
          <w:color w:val="000000"/>
        </w:rPr>
        <w:t>十三、</w:t>
      </w:r>
      <w:bookmarkEnd w:id="104"/>
      <w:r>
        <w:rPr>
          <w:rFonts w:hint="eastAsia" w:ascii="仿宋" w:hAnsi="仿宋" w:eastAsia="仿宋" w:cs="仿宋"/>
          <w:color w:val="000000"/>
        </w:rPr>
        <w:t>国</w:t>
      </w:r>
      <w:r>
        <w:rPr>
          <w:rFonts w:hint="eastAsia" w:ascii="仿宋" w:hAnsi="仿宋" w:eastAsia="仿宋" w:cs="仿宋"/>
          <w:bCs w:val="0"/>
          <w:color w:val="000000"/>
        </w:rPr>
        <w:t>有资本经营预算财政拨款收入支出决算表</w:t>
      </w:r>
      <w:bookmarkEnd w:id="105"/>
    </w:p>
    <w:p>
      <w:pPr>
        <w:pStyle w:val="4"/>
        <w:adjustRightInd w:val="0"/>
        <w:snapToGrid w:val="0"/>
        <w:spacing w:before="0" w:after="0" w:line="600" w:lineRule="exact"/>
        <w:ind w:firstLine="643" w:firstLineChars="200"/>
        <w:rPr>
          <w:rFonts w:ascii="仿宋" w:hAnsi="仿宋" w:eastAsia="仿宋" w:cs="仿宋"/>
          <w:color w:val="000000"/>
        </w:rPr>
      </w:pPr>
      <w:bookmarkStart w:id="106" w:name="_Toc23774"/>
      <w:r>
        <w:rPr>
          <w:rFonts w:hint="eastAsia" w:ascii="仿宋" w:hAnsi="仿宋" w:eastAsia="仿宋" w:cs="仿宋"/>
          <w:color w:val="000000"/>
        </w:rPr>
        <w:t>十四、国有资本经营预算财政拨款支出决算表</w:t>
      </w:r>
      <w:bookmarkEnd w:id="106"/>
    </w:p>
    <w:p>
      <w:pPr>
        <w:adjustRightInd w:val="0"/>
        <w:snapToGrid w:val="0"/>
        <w:spacing w:line="600" w:lineRule="exact"/>
        <w:rPr>
          <w:rFonts w:ascii="仿宋" w:hAnsi="仿宋" w:eastAsia="仿宋" w:cs="仿宋"/>
        </w:rPr>
      </w:pPr>
    </w:p>
    <w:sectPr>
      <w:footerReference r:id="rId10" w:type="first"/>
      <w:footerReference r:id="rId9" w:type="default"/>
      <w:pgSz w:w="11906" w:h="16838"/>
      <w:pgMar w:top="1440" w:right="1800" w:bottom="1440" w:left="1800" w:header="851" w:footer="992" w:gutter="0"/>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283D93EC-742A-4AA6-BB39-58C6BF518139}"/>
  </w:font>
  <w:font w:name="Arial">
    <w:panose1 w:val="020B0604020202020204"/>
    <w:charset w:val="01"/>
    <w:family w:val="swiss"/>
    <w:pitch w:val="default"/>
    <w:sig w:usb0="E0002AFF" w:usb1="C0007843" w:usb2="00000009" w:usb3="00000000" w:csb0="400001FF" w:csb1="FFFF0000"/>
    <w:embedRegular r:id="rId2" w:fontKey="{A595780C-8A2F-4305-A073-E13E526153C6}"/>
  </w:font>
  <w:font w:name="黑体">
    <w:panose1 w:val="02010600030101010101"/>
    <w:charset w:val="86"/>
    <w:family w:val="auto"/>
    <w:pitch w:val="default"/>
    <w:sig w:usb0="800002BF" w:usb1="38CF7CFA" w:usb2="00000016" w:usb3="00000000" w:csb0="00040001" w:csb1="00000000"/>
    <w:embedRegular r:id="rId3" w:fontKey="{869578FE-26A2-4E8D-9BE3-26BE5C0580EE}"/>
  </w:font>
  <w:font w:name="Courier New">
    <w:panose1 w:val="02070309020205020404"/>
    <w:charset w:val="01"/>
    <w:family w:val="modern"/>
    <w:pitch w:val="default"/>
    <w:sig w:usb0="E0002AFF" w:usb1="C0007843" w:usb2="00000009" w:usb3="00000000" w:csb0="400001FF" w:csb1="FFFF0000"/>
    <w:embedRegular r:id="rId4" w:fontKey="{C8D1F07A-BE3B-4731-AB26-2DE7E936DBC4}"/>
  </w:font>
  <w:font w:name="Symbol">
    <w:panose1 w:val="05050102010706020507"/>
    <w:charset w:val="02"/>
    <w:family w:val="roman"/>
    <w:pitch w:val="default"/>
    <w:sig w:usb0="00000000" w:usb1="00000000" w:usb2="00000000" w:usb3="00000000" w:csb0="80000000" w:csb1="00000000"/>
    <w:embedRegular r:id="rId5" w:fontKey="{53C66B46-C594-4EC3-98A3-677D18D42DC8}"/>
  </w:font>
  <w:font w:name="Calibri">
    <w:panose1 w:val="020F0502020204030204"/>
    <w:charset w:val="00"/>
    <w:family w:val="swiss"/>
    <w:pitch w:val="default"/>
    <w:sig w:usb0="E00002FF" w:usb1="4000ACFF" w:usb2="00000001" w:usb3="00000000" w:csb0="2000019F" w:csb1="00000000"/>
    <w:embedRegular r:id="rId6" w:fontKey="{214A0D0F-FBF2-42CF-9082-6C5CE7872CC1}"/>
  </w:font>
  <w:font w:name="Cambria">
    <w:panose1 w:val="02040503050406030204"/>
    <w:charset w:val="00"/>
    <w:family w:val="roman"/>
    <w:pitch w:val="default"/>
    <w:sig w:usb0="E00002FF" w:usb1="400004FF" w:usb2="00000000" w:usb3="00000000" w:csb0="2000019F" w:csb1="00000000"/>
    <w:embedRegular r:id="rId7" w:fontKey="{81E85046-C105-4E4A-A95C-6524576FBEC0}"/>
  </w:font>
  <w:font w:name="仿宋_GB2312">
    <w:panose1 w:val="02010609030101010101"/>
    <w:charset w:val="86"/>
    <w:family w:val="modern"/>
    <w:pitch w:val="default"/>
    <w:sig w:usb0="00000001" w:usb1="080E0000" w:usb2="00000000" w:usb3="00000000" w:csb0="00040000" w:csb1="00000000"/>
    <w:embedRegular r:id="rId8" w:fontKey="{ADCE2FC0-D553-4AD7-B48E-204FDB3E1180}"/>
  </w:font>
  <w:font w:name="仿宋">
    <w:panose1 w:val="02010609060101010101"/>
    <w:charset w:val="86"/>
    <w:family w:val="modern"/>
    <w:pitch w:val="default"/>
    <w:sig w:usb0="800002BF" w:usb1="38CF7CFA" w:usb2="00000016" w:usb3="00000000" w:csb0="00040001" w:csb1="00000000"/>
    <w:embedRegular r:id="rId9" w:fontKey="{FF497DDD-19F1-4B04-90CE-10AE959C68C8}"/>
  </w:font>
  <w:font w:name="Arial">
    <w:panose1 w:val="020B0604020202020204"/>
    <w:charset w:val="00"/>
    <w:family w:val="swiss"/>
    <w:pitch w:val="default"/>
    <w:sig w:usb0="E0002AFF" w:usb1="C0007843" w:usb2="00000009" w:usb3="00000000" w:csb0="400001FF" w:csb1="FFFF0000"/>
    <w:embedRegular r:id="rId10" w:fontKey="{F5252C3D-9E4E-44E6-8A4F-1CE63915088F}"/>
  </w:font>
  <w:font w:name="方正小标宋简体">
    <w:panose1 w:val="02010601030101010101"/>
    <w:charset w:val="86"/>
    <w:family w:val="auto"/>
    <w:pitch w:val="default"/>
    <w:sig w:usb0="00000001" w:usb1="080E0000" w:usb2="00000000" w:usb3="00000000" w:csb0="00040000" w:csb1="00000000"/>
  </w:font>
  <w:font w:name="楷体">
    <w:panose1 w:val="02010609060101010101"/>
    <w:charset w:val="86"/>
    <w:family w:val="modern"/>
    <w:pitch w:val="default"/>
    <w:sig w:usb0="800002BF" w:usb1="38CF7CFA" w:usb2="00000016" w:usb3="00000000" w:csb0="00040001" w:csb1="00000000"/>
    <w:embedRegular r:id="rId11" w:fontKey="{842C5C01-4D6D-4E40-AD80-B43FEFD3CCE0}"/>
  </w:font>
  <w:font w:name="楷体_GB2312">
    <w:panose1 w:val="02010609030101010101"/>
    <w:charset w:val="86"/>
    <w:family w:val="auto"/>
    <w:pitch w:val="default"/>
    <w:sig w:usb0="00000001" w:usb1="080E0000" w:usb2="00000000" w:usb3="00000000" w:csb0="00040000" w:csb1="00000000"/>
  </w:font>
  <w:font w:name="Segoe UI">
    <w:panose1 w:val="020B0502040204020203"/>
    <w:charset w:val="00"/>
    <w:family w:val="auto"/>
    <w:pitch w:val="default"/>
    <w:sig w:usb0="E10022FF" w:usb1="C000E47F" w:usb2="00000029" w:usb3="00000000" w:csb0="200001DF" w:csb1="20000000"/>
    <w:embedRegular r:id="rId12" w:fontKey="{172880F5-11E2-4D1C-9AC5-79959420B76C}"/>
  </w:font>
  <w:font w:name="Segoe Script">
    <w:panose1 w:val="020B0504020000000003"/>
    <w:charset w:val="00"/>
    <w:family w:val="auto"/>
    <w:pitch w:val="default"/>
    <w:sig w:usb0="0000028F" w:usb1="00000000" w:usb2="00000000" w:usb3="00000000" w:csb0="0000009F" w:csb1="00000000"/>
    <w:embedRegular r:id="rId13" w:fontKey="{9C67C2D4-FE71-4692-B8E6-2CD6E95D0C00}"/>
  </w:font>
  <w:font w:name="Pristina">
    <w:panose1 w:val="03060402040406080204"/>
    <w:charset w:val="00"/>
    <w:family w:val="auto"/>
    <w:pitch w:val="default"/>
    <w:sig w:usb0="00000003" w:usb1="00000000" w:usb2="00000000" w:usb3="00000000" w:csb0="20000001" w:csb1="00000000"/>
    <w:embedRegular r:id="rId14" w:fontKey="{4BD3125B-9F8D-428A-8419-694DA97E36D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jc w:val="center"/>
    </w:pPr>
  </w:p>
  <w:p>
    <w:pPr>
      <w:pStyle w:val="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tabs>
        <w:tab w:val="clear" w:pos="8306"/>
      </w:tabs>
    </w:pPr>
    <w:r>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rd1wwq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GSaKZQ8cv3b5cf&#10;vy4/vxKcQaDG+jnidhaRoX1rWgQP5x6HkXdbOhW/YETgB9b5Kq9oA+Hx0mw6m43h4vANG+Bnj9et&#10;8+GdMIpEI6cO9UuystPWhy50CInZtNnUUqYaSk2anN68fjNOF64egEuNHJFE99hohXbf9sz2pjiD&#10;mDNdb3jLNzWSb5kPD8yhGfBgjEu4x1JKgySmtyipjPvyr/MYjxrBS0mD5sqpxixRIt9r1A6AYTDc&#10;YOwHQx/VnUG3TjCGlicTF1yQg1k6oz5jhlYxB1xMc2TKaRjMu9A1OGaQi9UqBaHbLAtbvbM8Qkfx&#10;vF0dAwRMukZROiV6rdBvqTL9bMSG/nOfoh7/B8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Mrd1wwqAgAAVwQAAA4AAAAAAAAAAQAgAAAAHwEAAGRycy9lMm9Eb2MueG1sUEsFBgAAAAAGAAYA&#10;WQEAALsFAAAAAA==&#10;">
          <v:path/>
          <v:fill on="f" focussize="0,0"/>
          <v:stroke on="f" weight="0.5pt" joinstyle="miter"/>
          <v:imagedata o:title=""/>
          <o:lock v:ext="edit"/>
          <v:textbox inset="0mm,0mm,0mm,0mm" style="mso-fit-shape-to-text:t;">
            <w:txbxContent>
              <w:p>
                <w:pPr>
                  <w:pStyle w:val="7"/>
                  <w:jc w:val="center"/>
                </w:pPr>
              </w:p>
              <w:p/>
            </w:txbxContent>
          </v:textbox>
        </v:shape>
      </w:pict>
    </w:r>
  </w:p>
  <w:p>
    <w:pPr>
      <w:pStyle w:val="7"/>
      <w:tabs>
        <w:tab w:val="clear" w:pos="4153"/>
      </w:tabs>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689434431"/>
    </w:sdtPr>
    <w:sdtContent>
      <w:p>
        <w:pPr>
          <w:pStyle w:val="7"/>
          <w:jc w:val="center"/>
        </w:pPr>
        <w:r>
          <w:fldChar w:fldCharType="begin"/>
        </w:r>
        <w:r>
          <w:instrText xml:space="preserve">PAGE   \* MERGEFORMAT</w:instrText>
        </w:r>
        <w:r>
          <w:fldChar w:fldCharType="separate"/>
        </w:r>
        <w:r>
          <w:rPr>
            <w:lang w:val="zh-CN"/>
          </w:rPr>
          <w:t>1</w:t>
        </w:r>
        <w:r>
          <w:fldChar w:fldCharType="end"/>
        </w:r>
      </w:p>
    </w:sdtContent>
  </w:sdt>
  <w:p>
    <w:pPr>
      <w:pStyle w:val="7"/>
      <w:tabs>
        <w:tab w:val="clear" w:pos="4153"/>
      </w:tabs>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jc w:val="center"/>
    </w:pPr>
    <w:r>
      <w:pict>
        <v:shape id="_x0000_s1027" o:spid="_x0000_s1027"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9j2DAsAgAAV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r2PYMCwCAABVBAAADgAAAAAAAAABACAAAAAfAQAAZHJzL2Uyb0RvYy54bWxQSwUGAAAAAAYA&#10;BgBZAQAAvQUAAAAA&#10;">
          <v:path/>
          <v:fill on="f" focussize="0,0"/>
          <v:stroke on="f" weight="0.5pt" joinstyle="miter"/>
          <v:imagedata o:title=""/>
          <o:lock v:ext="edit"/>
          <v:textbox inset="0mm,0mm,0mm,0mm" style="mso-fit-shape-to-text:t;">
            <w:txbxContent>
              <w:sdt>
                <w:sdtPr>
                  <w:id w:val="-773704329"/>
                </w:sdtPr>
                <w:sdtContent>
                  <w:p>
                    <w:pPr>
                      <w:pStyle w:val="7"/>
                      <w:jc w:val="center"/>
                    </w:pPr>
                    <w:r>
                      <w:fldChar w:fldCharType="begin"/>
                    </w:r>
                    <w:r>
                      <w:instrText xml:space="preserve">PAGE   \* MERGEFORMAT</w:instrText>
                    </w:r>
                    <w:r>
                      <w:fldChar w:fldCharType="separate"/>
                    </w:r>
                    <w:r>
                      <w:rPr>
                        <w:lang w:val="zh-CN"/>
                      </w:rPr>
                      <w:t>2</w:t>
                    </w:r>
                    <w:r>
                      <w:fldChar w:fldCharType="end"/>
                    </w:r>
                  </w:p>
                </w:sdtContent>
              </w:sdt>
              <w:p/>
            </w:txbxContent>
          </v:textbox>
        </v:shape>
      </w:pict>
    </w:r>
  </w:p>
  <w:p>
    <w:pPr>
      <w:pStyle w:val="7"/>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pict>
        <v:shape id="_x0000_s1028" o:spid="_x0000_s1028"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bVWnMqAgAAVQ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meUaKZQ8Mv3b5cf&#10;vy4/v5JZlKexfoGoB4u40L41LZpmOPc4jKzb0qn4BR8CP8Q9X8UVbSA8XppP5/MxXBy+YQP87PG6&#10;dT68E0aRaOTUoXpJVHba+dCFDiExmzbbWspUQalJAwqv34zThasH4FIjRyTRPTZaod23PbO9Kc4g&#10;5kzXGd7ybY3kO+bDPXNoBTwYwxLusJTSIInpLUoq47786zzGo0LwUtKgtXKqMUmUyPcalQNgGAw3&#10;GPvB0Ed1a9CrEwyh5cnEBRfkYJbOqM+YoHXMARfTHJlyGgbzNnTtjQnkYr1OQeg1y8JOP1geoaN4&#10;3q6PAQImXaMonRK9Vui2VJl+MmI7/7lPUY9/g9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CbVWnMqAgAAVQQAAA4AAAAAAAAAAQAgAAAAHwEAAGRycy9lMm9Eb2MueG1sUEsFBgAAAAAGAAYA&#10;WQEAALsFAAAAAA==&#10;">
          <v:path/>
          <v:fill on="f" focussize="0,0"/>
          <v:stroke on="f" weight="0.5pt" joinstyle="miter"/>
          <v:imagedata o:title=""/>
          <o:lock v:ext="edit"/>
          <v:textbox inset="0mm,0mm,0mm,0mm" style="mso-fit-shape-to-text:t;">
            <w:txbxContent>
              <w:p>
                <w:pPr>
                  <w:pStyle w:val="7"/>
                </w:pPr>
                <w:r>
                  <w:rPr>
                    <w:rFonts w:hint="eastAsia"/>
                  </w:rPr>
                  <w:fldChar w:fldCharType="begin"/>
                </w:r>
                <w:r>
                  <w:rPr>
                    <w:rFonts w:hint="eastAsia"/>
                  </w:rPr>
                  <w:instrText xml:space="preserve"> PAGE  \* MERGEFORMAT </w:instrText>
                </w:r>
                <w:r>
                  <w:rPr>
                    <w:rFonts w:hint="eastAsia"/>
                  </w:rPr>
                  <w:fldChar w:fldCharType="separate"/>
                </w:r>
                <w:r>
                  <w:t>15</w:t>
                </w:r>
                <w:r>
                  <w:rPr>
                    <w:rFonts w:hint="eastAsia"/>
                  </w:rPr>
                  <w:fldChar w:fldCharType="end"/>
                </w:r>
              </w:p>
            </w:txbxContent>
          </v:textbox>
        </v:shape>
      </w:pict>
    </w:r>
    <w:r>
      <w:rPr>
        <w:rFonts w:hint="eastAsia"/>
      </w:rPr>
      <w:tab/>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C0BEF30"/>
    <w:multiLevelType w:val="singleLevel"/>
    <w:tmpl w:val="EC0BEF30"/>
    <w:lvl w:ilvl="0" w:tentative="0">
      <w:start w:val="1"/>
      <w:numFmt w:val="chineseCounting"/>
      <w:suff w:val="nothing"/>
      <w:lvlText w:val="（%1）"/>
      <w:lvlJc w:val="left"/>
      <w:rPr>
        <w:rFonts w:hint="eastAsia" w:ascii="楷体_GB2312" w:hAnsi="楷体_GB2312" w:eastAsia="楷体_GB2312" w:cs="楷体_GB2312"/>
        <w:b/>
        <w:bCs/>
        <w:sz w:val="32"/>
        <w:szCs w:val="32"/>
      </w:rPr>
    </w:lvl>
  </w:abstractNum>
  <w:abstractNum w:abstractNumId="1">
    <w:nsid w:val="F09ACF31"/>
    <w:multiLevelType w:val="singleLevel"/>
    <w:tmpl w:val="F09ACF31"/>
    <w:lvl w:ilvl="0" w:tentative="0">
      <w:start w:val="1"/>
      <w:numFmt w:val="decimal"/>
      <w:suff w:val="space"/>
      <w:lvlText w:val="%1."/>
      <w:lvlJc w:val="left"/>
    </w:lvl>
  </w:abstractNum>
  <w:abstractNum w:abstractNumId="2">
    <w:nsid w:val="FBCB5F45"/>
    <w:multiLevelType w:val="singleLevel"/>
    <w:tmpl w:val="FBCB5F45"/>
    <w:lvl w:ilvl="0" w:tentative="0">
      <w:start w:val="1"/>
      <w:numFmt w:val="decimal"/>
      <w:lvlText w:val="%1."/>
      <w:lvlJc w:val="left"/>
      <w:pPr>
        <w:tabs>
          <w:tab w:val="left" w:pos="312"/>
        </w:tabs>
      </w:pPr>
    </w:lvl>
  </w:abstractNum>
  <w:abstractNum w:abstractNumId="3">
    <w:nsid w:val="1B4BCB90"/>
    <w:multiLevelType w:val="singleLevel"/>
    <w:tmpl w:val="1B4BCB90"/>
    <w:lvl w:ilvl="0" w:tentative="0">
      <w:start w:val="1"/>
      <w:numFmt w:val="decimal"/>
      <w:suff w:val="space"/>
      <w:lvlText w:val="%1."/>
      <w:lvlJc w:val="left"/>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embedTrueTypeFonts/>
  <w:bordersDoNotSurroundHeader w:val="1"/>
  <w:bordersDoNotSurroundFooter w:val="1"/>
  <w:documentProtection w:enforcement="0"/>
  <w:defaultTabStop w:val="420"/>
  <w:drawingGridHorizontalSpacing w:val="105"/>
  <w:drawingGridVerticalSpacing w:val="156"/>
  <w:displayHorizontalDrawingGridEvery w:val="2"/>
  <w:displayVerticalDrawingGridEvery w:val="2"/>
  <w:noPunctuationKerning w:val="1"/>
  <w:characterSpacingControl w:val="compressPunctuation"/>
  <w:hdrShapeDefaults>
    <o:shapelayout v:ext="edit">
      <o:idmap v:ext="edit" data="1"/>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docVars>
    <w:docVar w:name="commondata" w:val="eyJoZGlkIjoiNGQ1YWZiNDkwNzNhNDBiNDVmZGFiNWEwZWRjM2UwZDQifQ=="/>
  </w:docVars>
  <w:rsids>
    <w:rsidRoot w:val="00F1361C"/>
    <w:rsid w:val="00014622"/>
    <w:rsid w:val="000222C6"/>
    <w:rsid w:val="000226A0"/>
    <w:rsid w:val="0002549F"/>
    <w:rsid w:val="0003624A"/>
    <w:rsid w:val="0006487A"/>
    <w:rsid w:val="00065F8F"/>
    <w:rsid w:val="000768F2"/>
    <w:rsid w:val="0009184B"/>
    <w:rsid w:val="0009593C"/>
    <w:rsid w:val="000B047F"/>
    <w:rsid w:val="000B427F"/>
    <w:rsid w:val="000B5923"/>
    <w:rsid w:val="000B5A48"/>
    <w:rsid w:val="000B6FF3"/>
    <w:rsid w:val="000C03A1"/>
    <w:rsid w:val="000C3467"/>
    <w:rsid w:val="000C3CA6"/>
    <w:rsid w:val="000D1267"/>
    <w:rsid w:val="000D1D50"/>
    <w:rsid w:val="000D5782"/>
    <w:rsid w:val="000E6613"/>
    <w:rsid w:val="000E7119"/>
    <w:rsid w:val="00101094"/>
    <w:rsid w:val="0010275B"/>
    <w:rsid w:val="001106CA"/>
    <w:rsid w:val="00114E9B"/>
    <w:rsid w:val="0014729F"/>
    <w:rsid w:val="00157BAB"/>
    <w:rsid w:val="001654D1"/>
    <w:rsid w:val="00171588"/>
    <w:rsid w:val="0018106D"/>
    <w:rsid w:val="001874BA"/>
    <w:rsid w:val="001877A7"/>
    <w:rsid w:val="00191536"/>
    <w:rsid w:val="00196687"/>
    <w:rsid w:val="001C0962"/>
    <w:rsid w:val="001D7531"/>
    <w:rsid w:val="001E70FF"/>
    <w:rsid w:val="001E737D"/>
    <w:rsid w:val="001F0592"/>
    <w:rsid w:val="001F7506"/>
    <w:rsid w:val="002006CD"/>
    <w:rsid w:val="00202B36"/>
    <w:rsid w:val="00204B7A"/>
    <w:rsid w:val="0021101A"/>
    <w:rsid w:val="00220536"/>
    <w:rsid w:val="002272FE"/>
    <w:rsid w:val="0023154E"/>
    <w:rsid w:val="00235629"/>
    <w:rsid w:val="00260C38"/>
    <w:rsid w:val="002616C0"/>
    <w:rsid w:val="002662AA"/>
    <w:rsid w:val="00280496"/>
    <w:rsid w:val="00295495"/>
    <w:rsid w:val="002B2613"/>
    <w:rsid w:val="002F1818"/>
    <w:rsid w:val="002F567B"/>
    <w:rsid w:val="00304F55"/>
    <w:rsid w:val="003216A9"/>
    <w:rsid w:val="0037013F"/>
    <w:rsid w:val="00380C92"/>
    <w:rsid w:val="003837B2"/>
    <w:rsid w:val="003A484F"/>
    <w:rsid w:val="003B0BE0"/>
    <w:rsid w:val="003B0C1B"/>
    <w:rsid w:val="003B688C"/>
    <w:rsid w:val="003C0291"/>
    <w:rsid w:val="003C39AE"/>
    <w:rsid w:val="003C7B60"/>
    <w:rsid w:val="003D1FB2"/>
    <w:rsid w:val="003D66DA"/>
    <w:rsid w:val="003D7720"/>
    <w:rsid w:val="003E1310"/>
    <w:rsid w:val="003E6F55"/>
    <w:rsid w:val="003F0430"/>
    <w:rsid w:val="00406254"/>
    <w:rsid w:val="004223DE"/>
    <w:rsid w:val="00434489"/>
    <w:rsid w:val="00437085"/>
    <w:rsid w:val="00443880"/>
    <w:rsid w:val="004464F4"/>
    <w:rsid w:val="004703EE"/>
    <w:rsid w:val="00471401"/>
    <w:rsid w:val="00473F31"/>
    <w:rsid w:val="0048263A"/>
    <w:rsid w:val="00487E5D"/>
    <w:rsid w:val="004A57F3"/>
    <w:rsid w:val="004A711F"/>
    <w:rsid w:val="004B199D"/>
    <w:rsid w:val="004B4690"/>
    <w:rsid w:val="004D6005"/>
    <w:rsid w:val="004E0A2D"/>
    <w:rsid w:val="004E206B"/>
    <w:rsid w:val="004E6DF7"/>
    <w:rsid w:val="004F0FBD"/>
    <w:rsid w:val="00505A47"/>
    <w:rsid w:val="00510DB8"/>
    <w:rsid w:val="00512FDA"/>
    <w:rsid w:val="00520DA0"/>
    <w:rsid w:val="005664BB"/>
    <w:rsid w:val="0058486E"/>
    <w:rsid w:val="0058649A"/>
    <w:rsid w:val="005A45FC"/>
    <w:rsid w:val="005B7FE4"/>
    <w:rsid w:val="005C0D97"/>
    <w:rsid w:val="005D1C8B"/>
    <w:rsid w:val="005D5CED"/>
    <w:rsid w:val="005E6C01"/>
    <w:rsid w:val="005F1A4C"/>
    <w:rsid w:val="00605688"/>
    <w:rsid w:val="006070AF"/>
    <w:rsid w:val="00607E6C"/>
    <w:rsid w:val="006101B1"/>
    <w:rsid w:val="00622830"/>
    <w:rsid w:val="00630AEF"/>
    <w:rsid w:val="006325F8"/>
    <w:rsid w:val="00634C9A"/>
    <w:rsid w:val="006440E4"/>
    <w:rsid w:val="0066343B"/>
    <w:rsid w:val="006748A4"/>
    <w:rsid w:val="00683E73"/>
    <w:rsid w:val="006A3141"/>
    <w:rsid w:val="006A5E34"/>
    <w:rsid w:val="006B2422"/>
    <w:rsid w:val="006B2B9A"/>
    <w:rsid w:val="006C1937"/>
    <w:rsid w:val="006E46D3"/>
    <w:rsid w:val="006F020C"/>
    <w:rsid w:val="007127B7"/>
    <w:rsid w:val="007416B6"/>
    <w:rsid w:val="00746F48"/>
    <w:rsid w:val="00752FD5"/>
    <w:rsid w:val="0075404D"/>
    <w:rsid w:val="0076182A"/>
    <w:rsid w:val="00766A53"/>
    <w:rsid w:val="00767B7E"/>
    <w:rsid w:val="007770C3"/>
    <w:rsid w:val="00784D24"/>
    <w:rsid w:val="00785FBA"/>
    <w:rsid w:val="00786E4A"/>
    <w:rsid w:val="007875EB"/>
    <w:rsid w:val="0079426B"/>
    <w:rsid w:val="007C6106"/>
    <w:rsid w:val="007D3F19"/>
    <w:rsid w:val="007F1991"/>
    <w:rsid w:val="007F2C2F"/>
    <w:rsid w:val="007F55FC"/>
    <w:rsid w:val="007F5665"/>
    <w:rsid w:val="00800112"/>
    <w:rsid w:val="008131F8"/>
    <w:rsid w:val="008253BB"/>
    <w:rsid w:val="0083423F"/>
    <w:rsid w:val="0083706E"/>
    <w:rsid w:val="008423A5"/>
    <w:rsid w:val="00850625"/>
    <w:rsid w:val="00853718"/>
    <w:rsid w:val="00855221"/>
    <w:rsid w:val="00855FFD"/>
    <w:rsid w:val="00860645"/>
    <w:rsid w:val="00871F71"/>
    <w:rsid w:val="00877BFA"/>
    <w:rsid w:val="00885AF4"/>
    <w:rsid w:val="008939CD"/>
    <w:rsid w:val="008B768C"/>
    <w:rsid w:val="008C41AE"/>
    <w:rsid w:val="008C4DB1"/>
    <w:rsid w:val="008C4EAF"/>
    <w:rsid w:val="008C5176"/>
    <w:rsid w:val="008C7FD0"/>
    <w:rsid w:val="008E1DE7"/>
    <w:rsid w:val="008E707C"/>
    <w:rsid w:val="00900B08"/>
    <w:rsid w:val="00902155"/>
    <w:rsid w:val="00902FA3"/>
    <w:rsid w:val="00906FCE"/>
    <w:rsid w:val="00923564"/>
    <w:rsid w:val="0092392E"/>
    <w:rsid w:val="009315F9"/>
    <w:rsid w:val="00946945"/>
    <w:rsid w:val="00951248"/>
    <w:rsid w:val="0095152F"/>
    <w:rsid w:val="00954C49"/>
    <w:rsid w:val="0097099F"/>
    <w:rsid w:val="00971997"/>
    <w:rsid w:val="00971FFC"/>
    <w:rsid w:val="0098660A"/>
    <w:rsid w:val="009931C3"/>
    <w:rsid w:val="009968E7"/>
    <w:rsid w:val="009A6866"/>
    <w:rsid w:val="009B055A"/>
    <w:rsid w:val="009B2C43"/>
    <w:rsid w:val="009B4EAE"/>
    <w:rsid w:val="009B5787"/>
    <w:rsid w:val="009B7573"/>
    <w:rsid w:val="009C1C8B"/>
    <w:rsid w:val="009C22F4"/>
    <w:rsid w:val="009C2E98"/>
    <w:rsid w:val="009D3447"/>
    <w:rsid w:val="009D4711"/>
    <w:rsid w:val="009F1185"/>
    <w:rsid w:val="009F18CD"/>
    <w:rsid w:val="009F2A13"/>
    <w:rsid w:val="009F2D81"/>
    <w:rsid w:val="00A04EB0"/>
    <w:rsid w:val="00A13CC1"/>
    <w:rsid w:val="00A16847"/>
    <w:rsid w:val="00A268C4"/>
    <w:rsid w:val="00A307CD"/>
    <w:rsid w:val="00A40A00"/>
    <w:rsid w:val="00A4142F"/>
    <w:rsid w:val="00A450E5"/>
    <w:rsid w:val="00A563E4"/>
    <w:rsid w:val="00A56DF2"/>
    <w:rsid w:val="00A67AB5"/>
    <w:rsid w:val="00A91760"/>
    <w:rsid w:val="00A91DCD"/>
    <w:rsid w:val="00A93B00"/>
    <w:rsid w:val="00A93C21"/>
    <w:rsid w:val="00A95733"/>
    <w:rsid w:val="00AB2AC5"/>
    <w:rsid w:val="00AC3C6A"/>
    <w:rsid w:val="00AD5620"/>
    <w:rsid w:val="00AD7C1B"/>
    <w:rsid w:val="00AE16BA"/>
    <w:rsid w:val="00AE1EBE"/>
    <w:rsid w:val="00B03C9D"/>
    <w:rsid w:val="00B060AE"/>
    <w:rsid w:val="00B10517"/>
    <w:rsid w:val="00B1126D"/>
    <w:rsid w:val="00B14E76"/>
    <w:rsid w:val="00B161B8"/>
    <w:rsid w:val="00B2048C"/>
    <w:rsid w:val="00B310B9"/>
    <w:rsid w:val="00B35F3F"/>
    <w:rsid w:val="00B36CBB"/>
    <w:rsid w:val="00B425E0"/>
    <w:rsid w:val="00B440AA"/>
    <w:rsid w:val="00B44B70"/>
    <w:rsid w:val="00B53C56"/>
    <w:rsid w:val="00B6611C"/>
    <w:rsid w:val="00B77EA6"/>
    <w:rsid w:val="00B81598"/>
    <w:rsid w:val="00B841F1"/>
    <w:rsid w:val="00B844DC"/>
    <w:rsid w:val="00B944D6"/>
    <w:rsid w:val="00BA2566"/>
    <w:rsid w:val="00BA4890"/>
    <w:rsid w:val="00BB4DF0"/>
    <w:rsid w:val="00BC0280"/>
    <w:rsid w:val="00BC289F"/>
    <w:rsid w:val="00BC5361"/>
    <w:rsid w:val="00BC5460"/>
    <w:rsid w:val="00BC6B50"/>
    <w:rsid w:val="00BD0E25"/>
    <w:rsid w:val="00BF01A0"/>
    <w:rsid w:val="00BF5BD6"/>
    <w:rsid w:val="00C03E31"/>
    <w:rsid w:val="00C2608A"/>
    <w:rsid w:val="00C33E72"/>
    <w:rsid w:val="00C354B2"/>
    <w:rsid w:val="00C35554"/>
    <w:rsid w:val="00C42709"/>
    <w:rsid w:val="00C46FE0"/>
    <w:rsid w:val="00C51900"/>
    <w:rsid w:val="00C525AE"/>
    <w:rsid w:val="00C533CC"/>
    <w:rsid w:val="00C5751C"/>
    <w:rsid w:val="00C61BFC"/>
    <w:rsid w:val="00C62B85"/>
    <w:rsid w:val="00C649E8"/>
    <w:rsid w:val="00C65438"/>
    <w:rsid w:val="00C845AE"/>
    <w:rsid w:val="00C91CBB"/>
    <w:rsid w:val="00C925D3"/>
    <w:rsid w:val="00CA6518"/>
    <w:rsid w:val="00CB4F3D"/>
    <w:rsid w:val="00CC09B6"/>
    <w:rsid w:val="00CC237E"/>
    <w:rsid w:val="00CC40E8"/>
    <w:rsid w:val="00CC666F"/>
    <w:rsid w:val="00CD1E3F"/>
    <w:rsid w:val="00CE44F6"/>
    <w:rsid w:val="00CE49DA"/>
    <w:rsid w:val="00CE7B61"/>
    <w:rsid w:val="00D00095"/>
    <w:rsid w:val="00D02143"/>
    <w:rsid w:val="00D20620"/>
    <w:rsid w:val="00D26091"/>
    <w:rsid w:val="00D34E7C"/>
    <w:rsid w:val="00D35489"/>
    <w:rsid w:val="00D41878"/>
    <w:rsid w:val="00D51276"/>
    <w:rsid w:val="00D7035F"/>
    <w:rsid w:val="00D952A2"/>
    <w:rsid w:val="00DA65AC"/>
    <w:rsid w:val="00DB1913"/>
    <w:rsid w:val="00DB5370"/>
    <w:rsid w:val="00DC410D"/>
    <w:rsid w:val="00DC68CA"/>
    <w:rsid w:val="00DC7CBA"/>
    <w:rsid w:val="00DD4B90"/>
    <w:rsid w:val="00DD73B7"/>
    <w:rsid w:val="00DF0D1A"/>
    <w:rsid w:val="00DF28BC"/>
    <w:rsid w:val="00DF34B9"/>
    <w:rsid w:val="00E01053"/>
    <w:rsid w:val="00E07ACF"/>
    <w:rsid w:val="00E23948"/>
    <w:rsid w:val="00E331A1"/>
    <w:rsid w:val="00E33202"/>
    <w:rsid w:val="00E336A9"/>
    <w:rsid w:val="00E50624"/>
    <w:rsid w:val="00E568DF"/>
    <w:rsid w:val="00E632E1"/>
    <w:rsid w:val="00E64269"/>
    <w:rsid w:val="00E82267"/>
    <w:rsid w:val="00EA010F"/>
    <w:rsid w:val="00EB7C2E"/>
    <w:rsid w:val="00ED1B63"/>
    <w:rsid w:val="00ED3C1F"/>
    <w:rsid w:val="00ED420E"/>
    <w:rsid w:val="00EE2F57"/>
    <w:rsid w:val="00EF4C34"/>
    <w:rsid w:val="00EF77C6"/>
    <w:rsid w:val="00F03F8E"/>
    <w:rsid w:val="00F05438"/>
    <w:rsid w:val="00F1361C"/>
    <w:rsid w:val="00F160C7"/>
    <w:rsid w:val="00F36D8F"/>
    <w:rsid w:val="00F417B1"/>
    <w:rsid w:val="00F455DB"/>
    <w:rsid w:val="00F602DF"/>
    <w:rsid w:val="00F66A74"/>
    <w:rsid w:val="00F81FD9"/>
    <w:rsid w:val="00F841AA"/>
    <w:rsid w:val="00FA23E8"/>
    <w:rsid w:val="00FC5BA0"/>
    <w:rsid w:val="00FD3CC1"/>
    <w:rsid w:val="00FF1E02"/>
    <w:rsid w:val="00FF30B4"/>
    <w:rsid w:val="0134714E"/>
    <w:rsid w:val="015D74CC"/>
    <w:rsid w:val="017A49FE"/>
    <w:rsid w:val="017C721E"/>
    <w:rsid w:val="0185104E"/>
    <w:rsid w:val="019F7441"/>
    <w:rsid w:val="01B17741"/>
    <w:rsid w:val="01D1123D"/>
    <w:rsid w:val="01D55F13"/>
    <w:rsid w:val="01DE0F9E"/>
    <w:rsid w:val="01F462DE"/>
    <w:rsid w:val="021C53B8"/>
    <w:rsid w:val="023332C0"/>
    <w:rsid w:val="023A70FE"/>
    <w:rsid w:val="024C438C"/>
    <w:rsid w:val="02576AB9"/>
    <w:rsid w:val="02675CE5"/>
    <w:rsid w:val="029134F5"/>
    <w:rsid w:val="02A543F1"/>
    <w:rsid w:val="02E034A0"/>
    <w:rsid w:val="02E434AE"/>
    <w:rsid w:val="02F743CA"/>
    <w:rsid w:val="031B34FA"/>
    <w:rsid w:val="034B442F"/>
    <w:rsid w:val="036F09EC"/>
    <w:rsid w:val="037424B2"/>
    <w:rsid w:val="03900CE7"/>
    <w:rsid w:val="03CE2112"/>
    <w:rsid w:val="03ED1A6F"/>
    <w:rsid w:val="03F21EC7"/>
    <w:rsid w:val="03FA7625"/>
    <w:rsid w:val="04083A9B"/>
    <w:rsid w:val="04C45D76"/>
    <w:rsid w:val="04C60B81"/>
    <w:rsid w:val="04DB480C"/>
    <w:rsid w:val="05213E47"/>
    <w:rsid w:val="05337991"/>
    <w:rsid w:val="0590502C"/>
    <w:rsid w:val="059705FA"/>
    <w:rsid w:val="05BC1413"/>
    <w:rsid w:val="05BD0CDD"/>
    <w:rsid w:val="05BE3E29"/>
    <w:rsid w:val="05D1565E"/>
    <w:rsid w:val="05E24935"/>
    <w:rsid w:val="05ED7D4D"/>
    <w:rsid w:val="05F037C6"/>
    <w:rsid w:val="05F50C8B"/>
    <w:rsid w:val="05FD5505"/>
    <w:rsid w:val="05FF678B"/>
    <w:rsid w:val="060C7B8C"/>
    <w:rsid w:val="063F3AB9"/>
    <w:rsid w:val="06495735"/>
    <w:rsid w:val="06633455"/>
    <w:rsid w:val="066901E3"/>
    <w:rsid w:val="06A12CDC"/>
    <w:rsid w:val="06DD1535"/>
    <w:rsid w:val="070C78B6"/>
    <w:rsid w:val="078431D1"/>
    <w:rsid w:val="07C40ED7"/>
    <w:rsid w:val="0810100A"/>
    <w:rsid w:val="0859022E"/>
    <w:rsid w:val="088D2542"/>
    <w:rsid w:val="089D5D23"/>
    <w:rsid w:val="08B40CC8"/>
    <w:rsid w:val="08BA4D8A"/>
    <w:rsid w:val="08E8575A"/>
    <w:rsid w:val="08EA5B6E"/>
    <w:rsid w:val="095A7C00"/>
    <w:rsid w:val="095F237E"/>
    <w:rsid w:val="09897992"/>
    <w:rsid w:val="09B108C0"/>
    <w:rsid w:val="09B12B57"/>
    <w:rsid w:val="09B666F1"/>
    <w:rsid w:val="09C63351"/>
    <w:rsid w:val="09F729DF"/>
    <w:rsid w:val="09FF15A1"/>
    <w:rsid w:val="0A030E0E"/>
    <w:rsid w:val="0A2B3473"/>
    <w:rsid w:val="0A3C686F"/>
    <w:rsid w:val="0A4E41AA"/>
    <w:rsid w:val="0A80764E"/>
    <w:rsid w:val="0A9C1552"/>
    <w:rsid w:val="0AB30820"/>
    <w:rsid w:val="0ACF3BC0"/>
    <w:rsid w:val="0B022E55"/>
    <w:rsid w:val="0B0429EB"/>
    <w:rsid w:val="0B2719FC"/>
    <w:rsid w:val="0B4B734D"/>
    <w:rsid w:val="0B533CB3"/>
    <w:rsid w:val="0B762A27"/>
    <w:rsid w:val="0B8B1A4C"/>
    <w:rsid w:val="0B956417"/>
    <w:rsid w:val="0BA838B7"/>
    <w:rsid w:val="0BD44ED8"/>
    <w:rsid w:val="0BEF6334"/>
    <w:rsid w:val="0C163ED9"/>
    <w:rsid w:val="0C3D0BC3"/>
    <w:rsid w:val="0C570F30"/>
    <w:rsid w:val="0CAF46BA"/>
    <w:rsid w:val="0CED4AAB"/>
    <w:rsid w:val="0D0935A9"/>
    <w:rsid w:val="0D0A1F41"/>
    <w:rsid w:val="0D0A35CB"/>
    <w:rsid w:val="0D17337B"/>
    <w:rsid w:val="0D3C1245"/>
    <w:rsid w:val="0D40113E"/>
    <w:rsid w:val="0D9A0974"/>
    <w:rsid w:val="0DA03719"/>
    <w:rsid w:val="0DB82FC6"/>
    <w:rsid w:val="0E0E2959"/>
    <w:rsid w:val="0E2B4868"/>
    <w:rsid w:val="0E2F543E"/>
    <w:rsid w:val="0E31016F"/>
    <w:rsid w:val="0E46049D"/>
    <w:rsid w:val="0E58041E"/>
    <w:rsid w:val="0E5A1440"/>
    <w:rsid w:val="0E5C3034"/>
    <w:rsid w:val="0E8962F2"/>
    <w:rsid w:val="0E9B68DB"/>
    <w:rsid w:val="0ED26B1D"/>
    <w:rsid w:val="0F184478"/>
    <w:rsid w:val="0F3F2AB0"/>
    <w:rsid w:val="0F3F454E"/>
    <w:rsid w:val="0F7420B4"/>
    <w:rsid w:val="10266173"/>
    <w:rsid w:val="10524A27"/>
    <w:rsid w:val="108B5788"/>
    <w:rsid w:val="10972599"/>
    <w:rsid w:val="109A067B"/>
    <w:rsid w:val="10C055FF"/>
    <w:rsid w:val="11037D1D"/>
    <w:rsid w:val="11163158"/>
    <w:rsid w:val="11313DEA"/>
    <w:rsid w:val="11662C34"/>
    <w:rsid w:val="116D46BD"/>
    <w:rsid w:val="1172737C"/>
    <w:rsid w:val="11F54669"/>
    <w:rsid w:val="12054E4B"/>
    <w:rsid w:val="121026F2"/>
    <w:rsid w:val="124E684D"/>
    <w:rsid w:val="129F1627"/>
    <w:rsid w:val="12B16A1E"/>
    <w:rsid w:val="12FC1DE9"/>
    <w:rsid w:val="134D19E0"/>
    <w:rsid w:val="13A64B88"/>
    <w:rsid w:val="141226E4"/>
    <w:rsid w:val="14387264"/>
    <w:rsid w:val="14433D6F"/>
    <w:rsid w:val="146B61E6"/>
    <w:rsid w:val="14770163"/>
    <w:rsid w:val="14921B9E"/>
    <w:rsid w:val="14CE2643"/>
    <w:rsid w:val="14DA121B"/>
    <w:rsid w:val="14EF7818"/>
    <w:rsid w:val="14F61C61"/>
    <w:rsid w:val="150A0C22"/>
    <w:rsid w:val="154523BF"/>
    <w:rsid w:val="155C2A53"/>
    <w:rsid w:val="158B4A81"/>
    <w:rsid w:val="159E4B67"/>
    <w:rsid w:val="15B67D22"/>
    <w:rsid w:val="15EC256B"/>
    <w:rsid w:val="16146BD3"/>
    <w:rsid w:val="16197596"/>
    <w:rsid w:val="165656DF"/>
    <w:rsid w:val="167D6888"/>
    <w:rsid w:val="16BB723D"/>
    <w:rsid w:val="16C45DDA"/>
    <w:rsid w:val="17447C37"/>
    <w:rsid w:val="175C3675"/>
    <w:rsid w:val="177854F6"/>
    <w:rsid w:val="17C266EE"/>
    <w:rsid w:val="17ED693C"/>
    <w:rsid w:val="17FA36F6"/>
    <w:rsid w:val="180635E6"/>
    <w:rsid w:val="183237E4"/>
    <w:rsid w:val="184E5B1E"/>
    <w:rsid w:val="189339BF"/>
    <w:rsid w:val="18B4159C"/>
    <w:rsid w:val="18B60A25"/>
    <w:rsid w:val="18CF6DBE"/>
    <w:rsid w:val="18F85453"/>
    <w:rsid w:val="19056D8F"/>
    <w:rsid w:val="192D447F"/>
    <w:rsid w:val="194477C6"/>
    <w:rsid w:val="19537D12"/>
    <w:rsid w:val="19541716"/>
    <w:rsid w:val="196C64C6"/>
    <w:rsid w:val="199B46C2"/>
    <w:rsid w:val="19FB3BF8"/>
    <w:rsid w:val="1A1B56C8"/>
    <w:rsid w:val="1AD923B9"/>
    <w:rsid w:val="1AFB5788"/>
    <w:rsid w:val="1B29136A"/>
    <w:rsid w:val="1B625949"/>
    <w:rsid w:val="1B6715F7"/>
    <w:rsid w:val="1B893B92"/>
    <w:rsid w:val="1BB36D4A"/>
    <w:rsid w:val="1BB979D5"/>
    <w:rsid w:val="1BDF3007"/>
    <w:rsid w:val="1BE14580"/>
    <w:rsid w:val="1C064FE3"/>
    <w:rsid w:val="1C1576D9"/>
    <w:rsid w:val="1C426807"/>
    <w:rsid w:val="1C6D330F"/>
    <w:rsid w:val="1C7D1A47"/>
    <w:rsid w:val="1CA95A3A"/>
    <w:rsid w:val="1CB72182"/>
    <w:rsid w:val="1CC112A9"/>
    <w:rsid w:val="1CC57BED"/>
    <w:rsid w:val="1CD4002E"/>
    <w:rsid w:val="1D2149C9"/>
    <w:rsid w:val="1D233F72"/>
    <w:rsid w:val="1D454DAB"/>
    <w:rsid w:val="1D7A370B"/>
    <w:rsid w:val="1D8310C3"/>
    <w:rsid w:val="1D976051"/>
    <w:rsid w:val="1DA65E41"/>
    <w:rsid w:val="1DAA00DE"/>
    <w:rsid w:val="1DEB4A7D"/>
    <w:rsid w:val="1E2A1A74"/>
    <w:rsid w:val="1E3126F4"/>
    <w:rsid w:val="1E3B5B2C"/>
    <w:rsid w:val="1E495499"/>
    <w:rsid w:val="1E6657E2"/>
    <w:rsid w:val="1E826E10"/>
    <w:rsid w:val="1E9D3641"/>
    <w:rsid w:val="1F056FCC"/>
    <w:rsid w:val="1F4A08AA"/>
    <w:rsid w:val="1FBE5875"/>
    <w:rsid w:val="1FD26A68"/>
    <w:rsid w:val="20466D9C"/>
    <w:rsid w:val="20B83993"/>
    <w:rsid w:val="20D01A39"/>
    <w:rsid w:val="21180641"/>
    <w:rsid w:val="211C7F4F"/>
    <w:rsid w:val="21512FB2"/>
    <w:rsid w:val="2177524E"/>
    <w:rsid w:val="21997BCC"/>
    <w:rsid w:val="21AC6948"/>
    <w:rsid w:val="21C24357"/>
    <w:rsid w:val="21DE7F62"/>
    <w:rsid w:val="21DF5CBD"/>
    <w:rsid w:val="220D0BE0"/>
    <w:rsid w:val="224E4629"/>
    <w:rsid w:val="225405C2"/>
    <w:rsid w:val="226A2D2A"/>
    <w:rsid w:val="227359E3"/>
    <w:rsid w:val="227859EE"/>
    <w:rsid w:val="22847938"/>
    <w:rsid w:val="22B54DF6"/>
    <w:rsid w:val="22C72194"/>
    <w:rsid w:val="234C47C3"/>
    <w:rsid w:val="237F316C"/>
    <w:rsid w:val="23AB2A09"/>
    <w:rsid w:val="23BB68E0"/>
    <w:rsid w:val="23CD1262"/>
    <w:rsid w:val="23F83E44"/>
    <w:rsid w:val="240371BF"/>
    <w:rsid w:val="244C19CB"/>
    <w:rsid w:val="247F10D1"/>
    <w:rsid w:val="24E17D9F"/>
    <w:rsid w:val="24F210CB"/>
    <w:rsid w:val="25011E26"/>
    <w:rsid w:val="25017EA9"/>
    <w:rsid w:val="250250D9"/>
    <w:rsid w:val="250C07DA"/>
    <w:rsid w:val="25212B8B"/>
    <w:rsid w:val="252E000A"/>
    <w:rsid w:val="254C4243"/>
    <w:rsid w:val="257778C4"/>
    <w:rsid w:val="257D791F"/>
    <w:rsid w:val="25C574DF"/>
    <w:rsid w:val="25EC39C6"/>
    <w:rsid w:val="25F70070"/>
    <w:rsid w:val="26362FB2"/>
    <w:rsid w:val="26520854"/>
    <w:rsid w:val="26C3458D"/>
    <w:rsid w:val="26D75E10"/>
    <w:rsid w:val="26FE78F4"/>
    <w:rsid w:val="274417F9"/>
    <w:rsid w:val="27543F80"/>
    <w:rsid w:val="279B17AE"/>
    <w:rsid w:val="27BB727B"/>
    <w:rsid w:val="27C26906"/>
    <w:rsid w:val="27EA1A53"/>
    <w:rsid w:val="27EB4C40"/>
    <w:rsid w:val="27FD106A"/>
    <w:rsid w:val="28016C22"/>
    <w:rsid w:val="28147850"/>
    <w:rsid w:val="28170C71"/>
    <w:rsid w:val="28356D36"/>
    <w:rsid w:val="28427682"/>
    <w:rsid w:val="28451115"/>
    <w:rsid w:val="284C31E0"/>
    <w:rsid w:val="28750A46"/>
    <w:rsid w:val="28901816"/>
    <w:rsid w:val="289F4176"/>
    <w:rsid w:val="28C15A7C"/>
    <w:rsid w:val="291776DD"/>
    <w:rsid w:val="291B3271"/>
    <w:rsid w:val="294F43E9"/>
    <w:rsid w:val="295221ED"/>
    <w:rsid w:val="296F3983"/>
    <w:rsid w:val="29C96CFB"/>
    <w:rsid w:val="29FD04D3"/>
    <w:rsid w:val="2A023505"/>
    <w:rsid w:val="2A055731"/>
    <w:rsid w:val="2A14179D"/>
    <w:rsid w:val="2A193111"/>
    <w:rsid w:val="2A333AE2"/>
    <w:rsid w:val="2A340CD4"/>
    <w:rsid w:val="2AA86D6B"/>
    <w:rsid w:val="2ACE43D8"/>
    <w:rsid w:val="2ADF1028"/>
    <w:rsid w:val="2AF97160"/>
    <w:rsid w:val="2B0B4CEE"/>
    <w:rsid w:val="2B255B02"/>
    <w:rsid w:val="2B4B0ABD"/>
    <w:rsid w:val="2BC73D16"/>
    <w:rsid w:val="2C1D79A8"/>
    <w:rsid w:val="2C3528B4"/>
    <w:rsid w:val="2C456659"/>
    <w:rsid w:val="2C4938D2"/>
    <w:rsid w:val="2C56647B"/>
    <w:rsid w:val="2C6274BE"/>
    <w:rsid w:val="2C8E05D7"/>
    <w:rsid w:val="2C8F7E70"/>
    <w:rsid w:val="2C975468"/>
    <w:rsid w:val="2CA42F84"/>
    <w:rsid w:val="2CB22649"/>
    <w:rsid w:val="2CED383A"/>
    <w:rsid w:val="2D56396E"/>
    <w:rsid w:val="2D5F3E4A"/>
    <w:rsid w:val="2D5F4E5F"/>
    <w:rsid w:val="2D634EAD"/>
    <w:rsid w:val="2D7514D8"/>
    <w:rsid w:val="2DCF2FCB"/>
    <w:rsid w:val="2DF47A49"/>
    <w:rsid w:val="2E165B9E"/>
    <w:rsid w:val="2E190AE3"/>
    <w:rsid w:val="2E2F4F2B"/>
    <w:rsid w:val="2E8520C3"/>
    <w:rsid w:val="2EB42BF1"/>
    <w:rsid w:val="2EF36A3C"/>
    <w:rsid w:val="2F031607"/>
    <w:rsid w:val="2F23799A"/>
    <w:rsid w:val="2F5225B0"/>
    <w:rsid w:val="2F586635"/>
    <w:rsid w:val="2F601B8A"/>
    <w:rsid w:val="2F6871D8"/>
    <w:rsid w:val="2F7321B4"/>
    <w:rsid w:val="2F805823"/>
    <w:rsid w:val="2F845D0E"/>
    <w:rsid w:val="2FA079B6"/>
    <w:rsid w:val="2FE426C4"/>
    <w:rsid w:val="30342400"/>
    <w:rsid w:val="30584E64"/>
    <w:rsid w:val="306A1B3F"/>
    <w:rsid w:val="307E7588"/>
    <w:rsid w:val="30944491"/>
    <w:rsid w:val="30AD2B3B"/>
    <w:rsid w:val="30B47666"/>
    <w:rsid w:val="30BA1F1A"/>
    <w:rsid w:val="30C17FD9"/>
    <w:rsid w:val="30C65C79"/>
    <w:rsid w:val="31223B07"/>
    <w:rsid w:val="312636E5"/>
    <w:rsid w:val="319B1372"/>
    <w:rsid w:val="319F7F4E"/>
    <w:rsid w:val="31CE3E14"/>
    <w:rsid w:val="32123F91"/>
    <w:rsid w:val="3214405D"/>
    <w:rsid w:val="327939BF"/>
    <w:rsid w:val="32BA132F"/>
    <w:rsid w:val="32CC2965"/>
    <w:rsid w:val="32EA6D4C"/>
    <w:rsid w:val="33306565"/>
    <w:rsid w:val="333D245A"/>
    <w:rsid w:val="333F5C6D"/>
    <w:rsid w:val="33630B20"/>
    <w:rsid w:val="33690D36"/>
    <w:rsid w:val="339869F7"/>
    <w:rsid w:val="33A36C4E"/>
    <w:rsid w:val="33D42BA1"/>
    <w:rsid w:val="33EE121C"/>
    <w:rsid w:val="33FA487A"/>
    <w:rsid w:val="341A20E2"/>
    <w:rsid w:val="342601C9"/>
    <w:rsid w:val="34304402"/>
    <w:rsid w:val="34481043"/>
    <w:rsid w:val="34555316"/>
    <w:rsid w:val="3487031D"/>
    <w:rsid w:val="3491168A"/>
    <w:rsid w:val="350B47C7"/>
    <w:rsid w:val="353D71AC"/>
    <w:rsid w:val="356404C4"/>
    <w:rsid w:val="35645131"/>
    <w:rsid w:val="3596533D"/>
    <w:rsid w:val="35BD14D6"/>
    <w:rsid w:val="35F041A0"/>
    <w:rsid w:val="365C19D2"/>
    <w:rsid w:val="36737230"/>
    <w:rsid w:val="36CB1FC7"/>
    <w:rsid w:val="3718089D"/>
    <w:rsid w:val="371F35C7"/>
    <w:rsid w:val="372157E9"/>
    <w:rsid w:val="37342B9A"/>
    <w:rsid w:val="375441A5"/>
    <w:rsid w:val="37793570"/>
    <w:rsid w:val="378B29C9"/>
    <w:rsid w:val="37A03FB4"/>
    <w:rsid w:val="37AE31EA"/>
    <w:rsid w:val="37AF4500"/>
    <w:rsid w:val="37B42B20"/>
    <w:rsid w:val="37E6222B"/>
    <w:rsid w:val="37E80537"/>
    <w:rsid w:val="37F47325"/>
    <w:rsid w:val="380C3D50"/>
    <w:rsid w:val="38140B5F"/>
    <w:rsid w:val="38295B6C"/>
    <w:rsid w:val="3836451C"/>
    <w:rsid w:val="38493F65"/>
    <w:rsid w:val="3851759C"/>
    <w:rsid w:val="38771FBA"/>
    <w:rsid w:val="38E82B1C"/>
    <w:rsid w:val="39177DBA"/>
    <w:rsid w:val="39857D99"/>
    <w:rsid w:val="39BF4459"/>
    <w:rsid w:val="3A320852"/>
    <w:rsid w:val="3A44767E"/>
    <w:rsid w:val="3A4D1079"/>
    <w:rsid w:val="3A5822A8"/>
    <w:rsid w:val="3A5A66FF"/>
    <w:rsid w:val="3A664AB6"/>
    <w:rsid w:val="3A786A75"/>
    <w:rsid w:val="3A863AA4"/>
    <w:rsid w:val="3A891A5C"/>
    <w:rsid w:val="3A8E1EDF"/>
    <w:rsid w:val="3AC57334"/>
    <w:rsid w:val="3ACE081A"/>
    <w:rsid w:val="3ADA6DDA"/>
    <w:rsid w:val="3ADE6050"/>
    <w:rsid w:val="3AEC5ABE"/>
    <w:rsid w:val="3B437A2D"/>
    <w:rsid w:val="3B671AF5"/>
    <w:rsid w:val="3B7643EA"/>
    <w:rsid w:val="3B9F21C3"/>
    <w:rsid w:val="3BA0511E"/>
    <w:rsid w:val="3BA060FC"/>
    <w:rsid w:val="3BCB13F7"/>
    <w:rsid w:val="3BF97BF8"/>
    <w:rsid w:val="3C187DF8"/>
    <w:rsid w:val="3C1D0008"/>
    <w:rsid w:val="3C2352C8"/>
    <w:rsid w:val="3C5976F8"/>
    <w:rsid w:val="3CC87D2D"/>
    <w:rsid w:val="3CCB1D67"/>
    <w:rsid w:val="3D1D04F6"/>
    <w:rsid w:val="3D1D471F"/>
    <w:rsid w:val="3DCD3FE1"/>
    <w:rsid w:val="3DE26E09"/>
    <w:rsid w:val="3DEC45A2"/>
    <w:rsid w:val="3E025562"/>
    <w:rsid w:val="3E1D58B3"/>
    <w:rsid w:val="3E517657"/>
    <w:rsid w:val="3E5F6295"/>
    <w:rsid w:val="3EA61056"/>
    <w:rsid w:val="3EC653D0"/>
    <w:rsid w:val="3ED86C93"/>
    <w:rsid w:val="3EDB17F4"/>
    <w:rsid w:val="3EE447E9"/>
    <w:rsid w:val="3F0723E5"/>
    <w:rsid w:val="3F3B2E97"/>
    <w:rsid w:val="3F9209B2"/>
    <w:rsid w:val="40245DD4"/>
    <w:rsid w:val="402A54EB"/>
    <w:rsid w:val="40306E40"/>
    <w:rsid w:val="404A78CE"/>
    <w:rsid w:val="40516987"/>
    <w:rsid w:val="40985E5D"/>
    <w:rsid w:val="40A40460"/>
    <w:rsid w:val="40BA4923"/>
    <w:rsid w:val="40C60516"/>
    <w:rsid w:val="40D37DFE"/>
    <w:rsid w:val="40FE7CBC"/>
    <w:rsid w:val="411069FA"/>
    <w:rsid w:val="41361034"/>
    <w:rsid w:val="414E2340"/>
    <w:rsid w:val="41791DC8"/>
    <w:rsid w:val="419602D6"/>
    <w:rsid w:val="41B71350"/>
    <w:rsid w:val="41C27A87"/>
    <w:rsid w:val="41DA53E0"/>
    <w:rsid w:val="41F230F1"/>
    <w:rsid w:val="41F521F3"/>
    <w:rsid w:val="420B0E4F"/>
    <w:rsid w:val="424B5091"/>
    <w:rsid w:val="42534DD8"/>
    <w:rsid w:val="42CC54D7"/>
    <w:rsid w:val="42F62542"/>
    <w:rsid w:val="43237E01"/>
    <w:rsid w:val="432E09B8"/>
    <w:rsid w:val="43313A5A"/>
    <w:rsid w:val="436B40C2"/>
    <w:rsid w:val="43812C80"/>
    <w:rsid w:val="43CE7A75"/>
    <w:rsid w:val="43D76590"/>
    <w:rsid w:val="43DD35F2"/>
    <w:rsid w:val="43E8369A"/>
    <w:rsid w:val="440539B0"/>
    <w:rsid w:val="440A760E"/>
    <w:rsid w:val="44161471"/>
    <w:rsid w:val="44265361"/>
    <w:rsid w:val="443A13FC"/>
    <w:rsid w:val="444B286B"/>
    <w:rsid w:val="445826AF"/>
    <w:rsid w:val="4464026F"/>
    <w:rsid w:val="446E67AC"/>
    <w:rsid w:val="4496034E"/>
    <w:rsid w:val="44B80949"/>
    <w:rsid w:val="44E036A3"/>
    <w:rsid w:val="44F87357"/>
    <w:rsid w:val="450338AA"/>
    <w:rsid w:val="451F03F4"/>
    <w:rsid w:val="459A040C"/>
    <w:rsid w:val="460B08AF"/>
    <w:rsid w:val="46222F5F"/>
    <w:rsid w:val="46826A51"/>
    <w:rsid w:val="46A109D7"/>
    <w:rsid w:val="46AA29E3"/>
    <w:rsid w:val="46C12822"/>
    <w:rsid w:val="46D61EEB"/>
    <w:rsid w:val="479E23C0"/>
    <w:rsid w:val="47BF78F1"/>
    <w:rsid w:val="47C20F59"/>
    <w:rsid w:val="47EA3551"/>
    <w:rsid w:val="47F15CCD"/>
    <w:rsid w:val="48333FB1"/>
    <w:rsid w:val="4843209F"/>
    <w:rsid w:val="48516003"/>
    <w:rsid w:val="485D4BB8"/>
    <w:rsid w:val="486C3CAA"/>
    <w:rsid w:val="48741417"/>
    <w:rsid w:val="489D394F"/>
    <w:rsid w:val="489F4970"/>
    <w:rsid w:val="48B7076E"/>
    <w:rsid w:val="48F54882"/>
    <w:rsid w:val="490C79AB"/>
    <w:rsid w:val="49162786"/>
    <w:rsid w:val="49406BDD"/>
    <w:rsid w:val="495A71FC"/>
    <w:rsid w:val="49650050"/>
    <w:rsid w:val="49652FF8"/>
    <w:rsid w:val="499C4A81"/>
    <w:rsid w:val="49D97B38"/>
    <w:rsid w:val="4A141601"/>
    <w:rsid w:val="4A1D54F7"/>
    <w:rsid w:val="4A2F1196"/>
    <w:rsid w:val="4A3254E1"/>
    <w:rsid w:val="4A36216C"/>
    <w:rsid w:val="4A4C5380"/>
    <w:rsid w:val="4A6066A9"/>
    <w:rsid w:val="4A76742B"/>
    <w:rsid w:val="4A944EBA"/>
    <w:rsid w:val="4B172BBA"/>
    <w:rsid w:val="4B265CA5"/>
    <w:rsid w:val="4B422BED"/>
    <w:rsid w:val="4B4C1D18"/>
    <w:rsid w:val="4B99086C"/>
    <w:rsid w:val="4BA25DD9"/>
    <w:rsid w:val="4BAB53AC"/>
    <w:rsid w:val="4BDF0F39"/>
    <w:rsid w:val="4BEE4800"/>
    <w:rsid w:val="4BF10F3C"/>
    <w:rsid w:val="4C033B46"/>
    <w:rsid w:val="4C3B0EC7"/>
    <w:rsid w:val="4C3D35E3"/>
    <w:rsid w:val="4C52390E"/>
    <w:rsid w:val="4D2A3AAB"/>
    <w:rsid w:val="4D305099"/>
    <w:rsid w:val="4D4300F2"/>
    <w:rsid w:val="4D5A20B6"/>
    <w:rsid w:val="4D6E6979"/>
    <w:rsid w:val="4D914202"/>
    <w:rsid w:val="4DA14649"/>
    <w:rsid w:val="4DB27413"/>
    <w:rsid w:val="4DD90D80"/>
    <w:rsid w:val="4DEC462C"/>
    <w:rsid w:val="4E4F6222"/>
    <w:rsid w:val="4EC259C1"/>
    <w:rsid w:val="4EF200AF"/>
    <w:rsid w:val="4F381A17"/>
    <w:rsid w:val="4FAD1475"/>
    <w:rsid w:val="4FBC58D8"/>
    <w:rsid w:val="4FFA5C80"/>
    <w:rsid w:val="502040FA"/>
    <w:rsid w:val="503F6761"/>
    <w:rsid w:val="50421DCA"/>
    <w:rsid w:val="50755490"/>
    <w:rsid w:val="507A338E"/>
    <w:rsid w:val="507C4FC1"/>
    <w:rsid w:val="508569FA"/>
    <w:rsid w:val="50904F07"/>
    <w:rsid w:val="50972C96"/>
    <w:rsid w:val="50A26212"/>
    <w:rsid w:val="50C771D8"/>
    <w:rsid w:val="50E535BF"/>
    <w:rsid w:val="50E54771"/>
    <w:rsid w:val="5160549E"/>
    <w:rsid w:val="516532F7"/>
    <w:rsid w:val="51DF437C"/>
    <w:rsid w:val="51FB2D30"/>
    <w:rsid w:val="52144CB4"/>
    <w:rsid w:val="5262597E"/>
    <w:rsid w:val="527C2BC2"/>
    <w:rsid w:val="527D271D"/>
    <w:rsid w:val="5292273F"/>
    <w:rsid w:val="52A30310"/>
    <w:rsid w:val="52AD763A"/>
    <w:rsid w:val="52D54473"/>
    <w:rsid w:val="52F36228"/>
    <w:rsid w:val="530B0877"/>
    <w:rsid w:val="53226659"/>
    <w:rsid w:val="53423150"/>
    <w:rsid w:val="534C1F85"/>
    <w:rsid w:val="535469D4"/>
    <w:rsid w:val="53E77194"/>
    <w:rsid w:val="53EB5A67"/>
    <w:rsid w:val="540853DA"/>
    <w:rsid w:val="541A60F0"/>
    <w:rsid w:val="54264508"/>
    <w:rsid w:val="54775FE8"/>
    <w:rsid w:val="547C70C4"/>
    <w:rsid w:val="54DA60AE"/>
    <w:rsid w:val="54DE1B54"/>
    <w:rsid w:val="54ED1A7C"/>
    <w:rsid w:val="552E67F7"/>
    <w:rsid w:val="55764323"/>
    <w:rsid w:val="55A76204"/>
    <w:rsid w:val="55B5370E"/>
    <w:rsid w:val="55B85082"/>
    <w:rsid w:val="55EC5F49"/>
    <w:rsid w:val="560633C1"/>
    <w:rsid w:val="561206CA"/>
    <w:rsid w:val="561545AD"/>
    <w:rsid w:val="56492E22"/>
    <w:rsid w:val="565113CF"/>
    <w:rsid w:val="56A873BD"/>
    <w:rsid w:val="56B76C3F"/>
    <w:rsid w:val="56DA0BB2"/>
    <w:rsid w:val="56E244A9"/>
    <w:rsid w:val="574A26DF"/>
    <w:rsid w:val="575819DD"/>
    <w:rsid w:val="57C345D9"/>
    <w:rsid w:val="583B45C4"/>
    <w:rsid w:val="58496B54"/>
    <w:rsid w:val="58825524"/>
    <w:rsid w:val="58A74FC8"/>
    <w:rsid w:val="58BE37F8"/>
    <w:rsid w:val="58CD62EA"/>
    <w:rsid w:val="59083BAB"/>
    <w:rsid w:val="591C716A"/>
    <w:rsid w:val="593819BB"/>
    <w:rsid w:val="593E3E9F"/>
    <w:rsid w:val="598E3C02"/>
    <w:rsid w:val="59A82A88"/>
    <w:rsid w:val="59D55A01"/>
    <w:rsid w:val="59E11B7A"/>
    <w:rsid w:val="59E706B3"/>
    <w:rsid w:val="5A574090"/>
    <w:rsid w:val="5A5E206B"/>
    <w:rsid w:val="5A6F6294"/>
    <w:rsid w:val="5A7C3A1B"/>
    <w:rsid w:val="5B2907B8"/>
    <w:rsid w:val="5B437C14"/>
    <w:rsid w:val="5B4C473C"/>
    <w:rsid w:val="5B677BF4"/>
    <w:rsid w:val="5B753AD1"/>
    <w:rsid w:val="5B960358"/>
    <w:rsid w:val="5BA04847"/>
    <w:rsid w:val="5BF83264"/>
    <w:rsid w:val="5C0D626C"/>
    <w:rsid w:val="5C925A32"/>
    <w:rsid w:val="5CB912CF"/>
    <w:rsid w:val="5CCE781C"/>
    <w:rsid w:val="5CF60F2B"/>
    <w:rsid w:val="5D1C42B5"/>
    <w:rsid w:val="5D731F2B"/>
    <w:rsid w:val="5DEF3BB7"/>
    <w:rsid w:val="5E0D1F00"/>
    <w:rsid w:val="5E267589"/>
    <w:rsid w:val="5E6D5355"/>
    <w:rsid w:val="5E7F3DF2"/>
    <w:rsid w:val="5E8F507F"/>
    <w:rsid w:val="5EAC650D"/>
    <w:rsid w:val="5EB9642B"/>
    <w:rsid w:val="5EE43014"/>
    <w:rsid w:val="5EEA1034"/>
    <w:rsid w:val="5EEC598C"/>
    <w:rsid w:val="5F09172E"/>
    <w:rsid w:val="5F32355A"/>
    <w:rsid w:val="5F467E2A"/>
    <w:rsid w:val="5F6A6296"/>
    <w:rsid w:val="5F8F3360"/>
    <w:rsid w:val="5FDD7C60"/>
    <w:rsid w:val="60062096"/>
    <w:rsid w:val="601F4F65"/>
    <w:rsid w:val="604E7BFD"/>
    <w:rsid w:val="61543C41"/>
    <w:rsid w:val="6167418F"/>
    <w:rsid w:val="618978A6"/>
    <w:rsid w:val="61967F23"/>
    <w:rsid w:val="61B6163E"/>
    <w:rsid w:val="61BA5906"/>
    <w:rsid w:val="61E20FBC"/>
    <w:rsid w:val="61E810BC"/>
    <w:rsid w:val="61FE5754"/>
    <w:rsid w:val="620E23CA"/>
    <w:rsid w:val="62102818"/>
    <w:rsid w:val="624A2095"/>
    <w:rsid w:val="624D553B"/>
    <w:rsid w:val="62836778"/>
    <w:rsid w:val="62857E0D"/>
    <w:rsid w:val="62AB7997"/>
    <w:rsid w:val="62CC02CB"/>
    <w:rsid w:val="62DE4166"/>
    <w:rsid w:val="62EF3833"/>
    <w:rsid w:val="63067ECF"/>
    <w:rsid w:val="631D61C5"/>
    <w:rsid w:val="638719D2"/>
    <w:rsid w:val="638A7448"/>
    <w:rsid w:val="63D32FA2"/>
    <w:rsid w:val="64327DAA"/>
    <w:rsid w:val="643915B0"/>
    <w:rsid w:val="646A006E"/>
    <w:rsid w:val="6470374C"/>
    <w:rsid w:val="647249BF"/>
    <w:rsid w:val="647B06F0"/>
    <w:rsid w:val="64F6554D"/>
    <w:rsid w:val="64F84E50"/>
    <w:rsid w:val="65280967"/>
    <w:rsid w:val="6529747B"/>
    <w:rsid w:val="654E2F30"/>
    <w:rsid w:val="655E4797"/>
    <w:rsid w:val="65722FD4"/>
    <w:rsid w:val="65820706"/>
    <w:rsid w:val="658B3251"/>
    <w:rsid w:val="659E6372"/>
    <w:rsid w:val="65C63FE3"/>
    <w:rsid w:val="66004F01"/>
    <w:rsid w:val="6609392E"/>
    <w:rsid w:val="660A6DB1"/>
    <w:rsid w:val="66250B19"/>
    <w:rsid w:val="66366EBA"/>
    <w:rsid w:val="664663AB"/>
    <w:rsid w:val="66501C40"/>
    <w:rsid w:val="66824240"/>
    <w:rsid w:val="669155F7"/>
    <w:rsid w:val="66A259D9"/>
    <w:rsid w:val="66C03D83"/>
    <w:rsid w:val="66D44B16"/>
    <w:rsid w:val="67010E02"/>
    <w:rsid w:val="6719485A"/>
    <w:rsid w:val="672107DF"/>
    <w:rsid w:val="67280241"/>
    <w:rsid w:val="67466BCF"/>
    <w:rsid w:val="67844ABD"/>
    <w:rsid w:val="67C07D22"/>
    <w:rsid w:val="67C61613"/>
    <w:rsid w:val="67D05EC2"/>
    <w:rsid w:val="67D36E8D"/>
    <w:rsid w:val="67DF4840"/>
    <w:rsid w:val="67F137D5"/>
    <w:rsid w:val="681A5D1F"/>
    <w:rsid w:val="68217A18"/>
    <w:rsid w:val="683547F7"/>
    <w:rsid w:val="683D1973"/>
    <w:rsid w:val="683E761C"/>
    <w:rsid w:val="685E5676"/>
    <w:rsid w:val="68616631"/>
    <w:rsid w:val="68623CE4"/>
    <w:rsid w:val="686E6129"/>
    <w:rsid w:val="68A1687C"/>
    <w:rsid w:val="68D72FCD"/>
    <w:rsid w:val="68EC5ADC"/>
    <w:rsid w:val="69135B83"/>
    <w:rsid w:val="6938587E"/>
    <w:rsid w:val="694C4A31"/>
    <w:rsid w:val="69856309"/>
    <w:rsid w:val="699232E1"/>
    <w:rsid w:val="699941C6"/>
    <w:rsid w:val="699976EA"/>
    <w:rsid w:val="69C5778F"/>
    <w:rsid w:val="69D27622"/>
    <w:rsid w:val="69ED3265"/>
    <w:rsid w:val="6A0224F5"/>
    <w:rsid w:val="6A5A31FC"/>
    <w:rsid w:val="6A770068"/>
    <w:rsid w:val="6A8207E0"/>
    <w:rsid w:val="6A9D3E35"/>
    <w:rsid w:val="6AA25366"/>
    <w:rsid w:val="6B1061BB"/>
    <w:rsid w:val="6B2F2FEA"/>
    <w:rsid w:val="6B7D035D"/>
    <w:rsid w:val="6B8A714F"/>
    <w:rsid w:val="6B9D695F"/>
    <w:rsid w:val="6BB31EA7"/>
    <w:rsid w:val="6BE1709B"/>
    <w:rsid w:val="6C154750"/>
    <w:rsid w:val="6CDE6CA9"/>
    <w:rsid w:val="6D1E65C7"/>
    <w:rsid w:val="6D3614C7"/>
    <w:rsid w:val="6D3B3476"/>
    <w:rsid w:val="6D3C5ABD"/>
    <w:rsid w:val="6E1566E0"/>
    <w:rsid w:val="6E3A2D66"/>
    <w:rsid w:val="6E44150F"/>
    <w:rsid w:val="6E9968FE"/>
    <w:rsid w:val="6EE64186"/>
    <w:rsid w:val="6EF42C77"/>
    <w:rsid w:val="6F6253E0"/>
    <w:rsid w:val="6F625A14"/>
    <w:rsid w:val="6FC90F0B"/>
    <w:rsid w:val="6FCA22A3"/>
    <w:rsid w:val="6FE55ACA"/>
    <w:rsid w:val="6FEB0581"/>
    <w:rsid w:val="706E50C0"/>
    <w:rsid w:val="70DA32A6"/>
    <w:rsid w:val="70E01009"/>
    <w:rsid w:val="70E317E7"/>
    <w:rsid w:val="70ED4246"/>
    <w:rsid w:val="70EE1F26"/>
    <w:rsid w:val="710B4B04"/>
    <w:rsid w:val="7117119A"/>
    <w:rsid w:val="71596AF6"/>
    <w:rsid w:val="71633430"/>
    <w:rsid w:val="71702154"/>
    <w:rsid w:val="717B7C26"/>
    <w:rsid w:val="71DA0900"/>
    <w:rsid w:val="72045BB5"/>
    <w:rsid w:val="722C40A6"/>
    <w:rsid w:val="727D4AF5"/>
    <w:rsid w:val="72AF0B9A"/>
    <w:rsid w:val="72C02149"/>
    <w:rsid w:val="73154FD7"/>
    <w:rsid w:val="73C20A5C"/>
    <w:rsid w:val="740B262A"/>
    <w:rsid w:val="74247876"/>
    <w:rsid w:val="74306D2C"/>
    <w:rsid w:val="74473732"/>
    <w:rsid w:val="74535CCA"/>
    <w:rsid w:val="746D3A32"/>
    <w:rsid w:val="747B1414"/>
    <w:rsid w:val="74E60282"/>
    <w:rsid w:val="75095F53"/>
    <w:rsid w:val="75441569"/>
    <w:rsid w:val="755A3C18"/>
    <w:rsid w:val="757E23E4"/>
    <w:rsid w:val="75AF03D0"/>
    <w:rsid w:val="75B149C7"/>
    <w:rsid w:val="75B45452"/>
    <w:rsid w:val="75BC51D0"/>
    <w:rsid w:val="75BE23F4"/>
    <w:rsid w:val="75EE0EF3"/>
    <w:rsid w:val="760F7A60"/>
    <w:rsid w:val="763F02DD"/>
    <w:rsid w:val="765E6ACD"/>
    <w:rsid w:val="76745605"/>
    <w:rsid w:val="76954CF7"/>
    <w:rsid w:val="76AE2875"/>
    <w:rsid w:val="76AF06E6"/>
    <w:rsid w:val="76B006CC"/>
    <w:rsid w:val="76CB6B69"/>
    <w:rsid w:val="76ED0B49"/>
    <w:rsid w:val="76EF1F9A"/>
    <w:rsid w:val="77426605"/>
    <w:rsid w:val="780E66BC"/>
    <w:rsid w:val="782228B7"/>
    <w:rsid w:val="78223E86"/>
    <w:rsid w:val="78305AE1"/>
    <w:rsid w:val="78733D12"/>
    <w:rsid w:val="78750F8D"/>
    <w:rsid w:val="787769B5"/>
    <w:rsid w:val="789471D5"/>
    <w:rsid w:val="789D638B"/>
    <w:rsid w:val="78B438F3"/>
    <w:rsid w:val="78DD1797"/>
    <w:rsid w:val="78DD1C79"/>
    <w:rsid w:val="78EF5568"/>
    <w:rsid w:val="790C708B"/>
    <w:rsid w:val="79432D09"/>
    <w:rsid w:val="797A5806"/>
    <w:rsid w:val="799105E9"/>
    <w:rsid w:val="79FB30DD"/>
    <w:rsid w:val="7A3F341B"/>
    <w:rsid w:val="7A7F58FF"/>
    <w:rsid w:val="7A8C6818"/>
    <w:rsid w:val="7A8E51C0"/>
    <w:rsid w:val="7A9F411A"/>
    <w:rsid w:val="7AAA77FD"/>
    <w:rsid w:val="7AE90A6B"/>
    <w:rsid w:val="7AEF02AD"/>
    <w:rsid w:val="7B180A13"/>
    <w:rsid w:val="7B1C0E5C"/>
    <w:rsid w:val="7B397573"/>
    <w:rsid w:val="7B4D3573"/>
    <w:rsid w:val="7B514AAB"/>
    <w:rsid w:val="7B603DB0"/>
    <w:rsid w:val="7B7036F4"/>
    <w:rsid w:val="7B8A2718"/>
    <w:rsid w:val="7BCC6881"/>
    <w:rsid w:val="7BD54D49"/>
    <w:rsid w:val="7BEC55F2"/>
    <w:rsid w:val="7C0379C0"/>
    <w:rsid w:val="7C2A58B0"/>
    <w:rsid w:val="7C3330C8"/>
    <w:rsid w:val="7C5643D7"/>
    <w:rsid w:val="7C56536B"/>
    <w:rsid w:val="7C5A40DE"/>
    <w:rsid w:val="7CE86CA7"/>
    <w:rsid w:val="7CE87FCB"/>
    <w:rsid w:val="7CF7325A"/>
    <w:rsid w:val="7D064990"/>
    <w:rsid w:val="7D291E5B"/>
    <w:rsid w:val="7D9A6DB2"/>
    <w:rsid w:val="7DAE05F7"/>
    <w:rsid w:val="7DD90E26"/>
    <w:rsid w:val="7DEA6B7B"/>
    <w:rsid w:val="7E4E2F22"/>
    <w:rsid w:val="7EA678AB"/>
    <w:rsid w:val="7ECF5E07"/>
    <w:rsid w:val="7ED36730"/>
    <w:rsid w:val="7EEE42B9"/>
    <w:rsid w:val="7F2B06EF"/>
    <w:rsid w:val="7F2E6D52"/>
    <w:rsid w:val="7F50406E"/>
    <w:rsid w:val="7F706DB9"/>
    <w:rsid w:val="7F885F46"/>
    <w:rsid w:val="7F900C80"/>
    <w:rsid w:val="7FD97D68"/>
    <w:rsid w:val="7FE703A8"/>
    <w:rsid w:val="7FF9230A"/>
    <w:rsid w:val="7FFE40ED"/>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nhideWhenUsed="0" w:uiPriority="99"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99"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99"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23"/>
    <w:qFormat/>
    <w:uiPriority w:val="9"/>
    <w:pPr>
      <w:keepNext/>
      <w:keepLines/>
      <w:spacing w:before="340" w:after="330" w:line="578" w:lineRule="auto"/>
      <w:outlineLvl w:val="0"/>
    </w:pPr>
    <w:rPr>
      <w:b/>
      <w:bCs/>
      <w:kern w:val="44"/>
      <w:sz w:val="44"/>
      <w:szCs w:val="44"/>
    </w:rPr>
  </w:style>
  <w:style w:type="paragraph" w:styleId="4">
    <w:name w:val="heading 2"/>
    <w:basedOn w:val="1"/>
    <w:next w:val="1"/>
    <w:link w:val="24"/>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character" w:default="1" w:styleId="12">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2">
    <w:name w:val="Body Text"/>
    <w:basedOn w:val="1"/>
    <w:link w:val="20"/>
    <w:qFormat/>
    <w:uiPriority w:val="99"/>
    <w:pPr>
      <w:spacing w:beforeLines="30"/>
    </w:pPr>
    <w:rPr>
      <w:rFonts w:ascii="仿宋_GB2312" w:eastAsia="仿宋_GB2312"/>
      <w:kern w:val="0"/>
      <w:sz w:val="30"/>
    </w:rPr>
  </w:style>
  <w:style w:type="paragraph" w:styleId="5">
    <w:name w:val="toc 3"/>
    <w:basedOn w:val="1"/>
    <w:next w:val="1"/>
    <w:unhideWhenUsed/>
    <w:qFormat/>
    <w:uiPriority w:val="39"/>
    <w:pPr>
      <w:tabs>
        <w:tab w:val="right" w:leader="dot" w:pos="8296"/>
      </w:tabs>
      <w:ind w:left="840" w:leftChars="400"/>
    </w:pPr>
  </w:style>
  <w:style w:type="paragraph" w:styleId="6">
    <w:name w:val="Balloon Text"/>
    <w:basedOn w:val="1"/>
    <w:link w:val="26"/>
    <w:semiHidden/>
    <w:unhideWhenUsed/>
    <w:qFormat/>
    <w:uiPriority w:val="99"/>
    <w:rPr>
      <w:sz w:val="18"/>
      <w:szCs w:val="18"/>
    </w:rPr>
  </w:style>
  <w:style w:type="paragraph" w:styleId="7">
    <w:name w:val="footer"/>
    <w:basedOn w:val="1"/>
    <w:link w:val="18"/>
    <w:qFormat/>
    <w:uiPriority w:val="99"/>
    <w:pPr>
      <w:tabs>
        <w:tab w:val="center" w:pos="4153"/>
        <w:tab w:val="right" w:pos="8306"/>
      </w:tabs>
      <w:snapToGrid w:val="0"/>
      <w:jc w:val="left"/>
    </w:pPr>
    <w:rPr>
      <w:rFonts w:ascii="Calibri" w:hAnsi="Calibri"/>
      <w:kern w:val="0"/>
      <w:sz w:val="18"/>
      <w:szCs w:val="18"/>
    </w:rPr>
  </w:style>
  <w:style w:type="paragraph" w:styleId="8">
    <w:name w:val="header"/>
    <w:basedOn w:val="1"/>
    <w:link w:val="16"/>
    <w:semiHidden/>
    <w:qFormat/>
    <w:uiPriority w:val="99"/>
    <w:pPr>
      <w:pBdr>
        <w:bottom w:val="single" w:color="auto" w:sz="6" w:space="1"/>
      </w:pBdr>
      <w:tabs>
        <w:tab w:val="center" w:pos="4153"/>
        <w:tab w:val="right" w:pos="8306"/>
      </w:tabs>
      <w:snapToGrid w:val="0"/>
      <w:jc w:val="center"/>
    </w:pPr>
    <w:rPr>
      <w:rFonts w:ascii="Calibri" w:hAnsi="Calibri"/>
      <w:kern w:val="0"/>
      <w:sz w:val="18"/>
      <w:szCs w:val="18"/>
    </w:rPr>
  </w:style>
  <w:style w:type="paragraph" w:styleId="9">
    <w:name w:val="toc 1"/>
    <w:basedOn w:val="1"/>
    <w:next w:val="1"/>
    <w:unhideWhenUsed/>
    <w:qFormat/>
    <w:uiPriority w:val="39"/>
    <w:pPr>
      <w:tabs>
        <w:tab w:val="right" w:leader="dot" w:pos="8296"/>
      </w:tabs>
      <w:spacing w:before="93"/>
      <w:jc w:val="center"/>
    </w:pPr>
    <w:rPr>
      <w:rFonts w:ascii="仿宋" w:hAnsi="仿宋" w:eastAsia="仿宋"/>
      <w:sz w:val="28"/>
      <w:szCs w:val="28"/>
    </w:rPr>
  </w:style>
  <w:style w:type="paragraph" w:styleId="10">
    <w:name w:val="toc 2"/>
    <w:basedOn w:val="1"/>
    <w:next w:val="1"/>
    <w:unhideWhenUsed/>
    <w:qFormat/>
    <w:uiPriority w:val="39"/>
    <w:pPr>
      <w:tabs>
        <w:tab w:val="right" w:leader="dot" w:pos="8296"/>
      </w:tabs>
      <w:ind w:left="420" w:leftChars="200"/>
    </w:pPr>
  </w:style>
  <w:style w:type="character" w:styleId="13">
    <w:name w:val="Strong"/>
    <w:basedOn w:val="12"/>
    <w:qFormat/>
    <w:uiPriority w:val="99"/>
    <w:rPr>
      <w:b/>
    </w:rPr>
  </w:style>
  <w:style w:type="character" w:styleId="14">
    <w:name w:val="Hyperlink"/>
    <w:basedOn w:val="12"/>
    <w:unhideWhenUsed/>
    <w:qFormat/>
    <w:uiPriority w:val="99"/>
    <w:rPr>
      <w:color w:val="0000FF" w:themeColor="hyperlink"/>
      <w:u w:val="single"/>
    </w:rPr>
  </w:style>
  <w:style w:type="character" w:customStyle="1" w:styleId="15">
    <w:name w:val="Header Char"/>
    <w:basedOn w:val="12"/>
    <w:semiHidden/>
    <w:qFormat/>
    <w:uiPriority w:val="99"/>
    <w:rPr>
      <w:rFonts w:ascii="Times New Roman" w:hAnsi="Times New Roman"/>
      <w:sz w:val="18"/>
      <w:szCs w:val="18"/>
    </w:rPr>
  </w:style>
  <w:style w:type="character" w:customStyle="1" w:styleId="16">
    <w:name w:val="页眉 Char"/>
    <w:link w:val="8"/>
    <w:semiHidden/>
    <w:qFormat/>
    <w:locked/>
    <w:uiPriority w:val="99"/>
    <w:rPr>
      <w:sz w:val="18"/>
    </w:rPr>
  </w:style>
  <w:style w:type="character" w:customStyle="1" w:styleId="17">
    <w:name w:val="Footer Char"/>
    <w:basedOn w:val="12"/>
    <w:semiHidden/>
    <w:qFormat/>
    <w:uiPriority w:val="99"/>
    <w:rPr>
      <w:rFonts w:ascii="Times New Roman" w:hAnsi="Times New Roman"/>
      <w:sz w:val="18"/>
      <w:szCs w:val="18"/>
    </w:rPr>
  </w:style>
  <w:style w:type="character" w:customStyle="1" w:styleId="18">
    <w:name w:val="页脚 Char"/>
    <w:link w:val="7"/>
    <w:qFormat/>
    <w:locked/>
    <w:uiPriority w:val="99"/>
    <w:rPr>
      <w:sz w:val="18"/>
    </w:rPr>
  </w:style>
  <w:style w:type="character" w:customStyle="1" w:styleId="19">
    <w:name w:val="Body Text Char"/>
    <w:basedOn w:val="12"/>
    <w:semiHidden/>
    <w:qFormat/>
    <w:uiPriority w:val="99"/>
    <w:rPr>
      <w:rFonts w:ascii="Times New Roman" w:hAnsi="Times New Roman"/>
      <w:szCs w:val="24"/>
    </w:rPr>
  </w:style>
  <w:style w:type="character" w:customStyle="1" w:styleId="20">
    <w:name w:val="正文文本 Char"/>
    <w:link w:val="2"/>
    <w:qFormat/>
    <w:locked/>
    <w:uiPriority w:val="99"/>
    <w:rPr>
      <w:rFonts w:ascii="仿宋_GB2312" w:hAnsi="Times New Roman" w:eastAsia="仿宋_GB2312"/>
      <w:sz w:val="24"/>
    </w:rPr>
  </w:style>
  <w:style w:type="paragraph" w:customStyle="1" w:styleId="21">
    <w:name w:val="Default"/>
    <w:qFormat/>
    <w:uiPriority w:val="99"/>
    <w:pPr>
      <w:widowControl w:val="0"/>
      <w:autoSpaceDE w:val="0"/>
      <w:autoSpaceDN w:val="0"/>
      <w:adjustRightInd w:val="0"/>
    </w:pPr>
    <w:rPr>
      <w:rFonts w:ascii="仿宋" w:hAnsi="Calibri" w:eastAsia="仿宋" w:cs="仿宋"/>
      <w:color w:val="000000"/>
      <w:sz w:val="24"/>
      <w:szCs w:val="24"/>
      <w:lang w:val="en-US" w:eastAsia="zh-CN" w:bidi="ar-SA"/>
    </w:rPr>
  </w:style>
  <w:style w:type="paragraph" w:styleId="22">
    <w:name w:val="List Paragraph"/>
    <w:basedOn w:val="1"/>
    <w:qFormat/>
    <w:uiPriority w:val="34"/>
    <w:pPr>
      <w:ind w:firstLine="420" w:firstLineChars="200"/>
    </w:pPr>
  </w:style>
  <w:style w:type="character" w:customStyle="1" w:styleId="23">
    <w:name w:val="标题 1 Char"/>
    <w:basedOn w:val="12"/>
    <w:link w:val="3"/>
    <w:qFormat/>
    <w:uiPriority w:val="9"/>
    <w:rPr>
      <w:rFonts w:ascii="Times New Roman" w:hAnsi="Times New Roman"/>
      <w:b/>
      <w:bCs/>
      <w:kern w:val="44"/>
      <w:sz w:val="44"/>
      <w:szCs w:val="44"/>
    </w:rPr>
  </w:style>
  <w:style w:type="character" w:customStyle="1" w:styleId="24">
    <w:name w:val="标题 2 Char"/>
    <w:basedOn w:val="12"/>
    <w:link w:val="4"/>
    <w:qFormat/>
    <w:uiPriority w:val="9"/>
    <w:rPr>
      <w:rFonts w:asciiTheme="majorHAnsi" w:hAnsiTheme="majorHAnsi" w:eastAsiaTheme="majorEastAsia" w:cstheme="majorBidi"/>
      <w:b/>
      <w:bCs/>
      <w:kern w:val="2"/>
      <w:sz w:val="32"/>
      <w:szCs w:val="32"/>
    </w:rPr>
  </w:style>
  <w:style w:type="paragraph" w:customStyle="1" w:styleId="25">
    <w:name w:val="TOC 标题1"/>
    <w:basedOn w:val="3"/>
    <w:next w:val="1"/>
    <w:unhideWhenUsed/>
    <w:qFormat/>
    <w:uiPriority w:val="39"/>
    <w:pPr>
      <w:widowControl/>
      <w:spacing w:before="480" w:after="0" w:line="276" w:lineRule="auto"/>
      <w:jc w:val="left"/>
      <w:outlineLvl w:val="9"/>
    </w:pPr>
    <w:rPr>
      <w:rFonts w:asciiTheme="majorHAnsi" w:hAnsiTheme="majorHAnsi" w:eastAsiaTheme="majorEastAsia" w:cstheme="majorBidi"/>
      <w:color w:val="366091" w:themeColor="accent1" w:themeShade="BF"/>
      <w:kern w:val="0"/>
      <w:sz w:val="28"/>
      <w:szCs w:val="28"/>
    </w:rPr>
  </w:style>
  <w:style w:type="character" w:customStyle="1" w:styleId="26">
    <w:name w:val="批注框文本 Char"/>
    <w:basedOn w:val="12"/>
    <w:link w:val="6"/>
    <w:semiHidden/>
    <w:qFormat/>
    <w:uiPriority w:val="99"/>
    <w:rPr>
      <w:rFonts w:ascii="Times New Roman" w:hAnsi="Times New Roman"/>
      <w:kern w:val="2"/>
      <w:sz w:val="18"/>
      <w:szCs w:val="18"/>
    </w:rPr>
  </w:style>
  <w:style w:type="character" w:customStyle="1" w:styleId="27">
    <w:name w:val="font71"/>
    <w:basedOn w:val="12"/>
    <w:qFormat/>
    <w:uiPriority w:val="0"/>
    <w:rPr>
      <w:rFonts w:hint="eastAsia" w:ascii="宋体" w:hAnsi="宋体" w:eastAsia="宋体" w:cs="宋体"/>
      <w:color w:val="000000"/>
      <w:sz w:val="24"/>
      <w:szCs w:val="24"/>
      <w:u w:val="none"/>
    </w:rPr>
  </w:style>
  <w:style w:type="character" w:customStyle="1" w:styleId="28">
    <w:name w:val="font11"/>
    <w:basedOn w:val="12"/>
    <w:qFormat/>
    <w:uiPriority w:val="0"/>
    <w:rPr>
      <w:rFonts w:hint="default" w:ascii="Times New Roman" w:hAnsi="Times New Roman" w:cs="Times New Roman"/>
      <w:color w:val="000000"/>
      <w:sz w:val="24"/>
      <w:szCs w:val="24"/>
      <w:u w:val="none"/>
    </w:rPr>
  </w:style>
  <w:style w:type="character" w:customStyle="1" w:styleId="29">
    <w:name w:val="??????1"/>
    <w:qFormat/>
    <w:uiPriority w:val="0"/>
  </w:style>
  <w:style w:type="paragraph" w:customStyle="1" w:styleId="30">
    <w:name w:val="TOC 标题2"/>
    <w:basedOn w:val="3"/>
    <w:next w:val="1"/>
    <w:semiHidden/>
    <w:unhideWhenUsed/>
    <w:qFormat/>
    <w:uiPriority w:val="39"/>
    <w:pPr>
      <w:widowControl/>
      <w:spacing w:before="480" w:after="0" w:line="276" w:lineRule="auto"/>
      <w:jc w:val="left"/>
      <w:outlineLvl w:val="9"/>
    </w:pPr>
    <w:rPr>
      <w:rFonts w:asciiTheme="majorHAnsi" w:hAnsiTheme="majorHAnsi" w:eastAsiaTheme="majorEastAsia" w:cstheme="majorBidi"/>
      <w:color w:val="366091" w:themeColor="accent1" w:themeShade="BF"/>
      <w:kern w:val="0"/>
      <w:sz w:val="28"/>
      <w:szCs w:val="28"/>
    </w:rPr>
  </w:style>
  <w:style w:type="character" w:customStyle="1" w:styleId="31">
    <w:name w:val="font51"/>
    <w:basedOn w:val="12"/>
    <w:qFormat/>
    <w:uiPriority w:val="0"/>
    <w:rPr>
      <w:rFonts w:hint="default" w:ascii="Arial" w:hAnsi="Arial" w:cs="Arial"/>
      <w:b/>
      <w:bCs/>
      <w:color w:val="000000"/>
      <w:sz w:val="24"/>
      <w:szCs w:val="24"/>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1" Type="http://schemas.openxmlformats.org/officeDocument/2006/relationships/fontTable" Target="fontTable.xml"/><Relationship Id="rId20" Type="http://schemas.openxmlformats.org/officeDocument/2006/relationships/customXml" Target="../customXml/item2.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6.png"/><Relationship Id="rId16"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customShpInfo spid="_x0000_s1027"/>
    <customShpInfo spid="_x0000_s1028"/>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16356BF-08BC-410F-8437-7EBF77C14DAD}">
  <ds:schemaRefs/>
</ds:datastoreItem>
</file>

<file path=docProps/app.xml><?xml version="1.0" encoding="utf-8"?>
<Properties xmlns="http://schemas.openxmlformats.org/officeDocument/2006/extended-properties" xmlns:vt="http://schemas.openxmlformats.org/officeDocument/2006/docPropsVTypes">
  <Template>Normal</Template>
  <Company>四川省财政厅</Company>
  <Pages>18</Pages>
  <Words>5769</Words>
  <Characters>6311</Characters>
  <Lines>56</Lines>
  <Paragraphs>15</Paragraphs>
  <TotalTime>1</TotalTime>
  <ScaleCrop>false</ScaleCrop>
  <LinksUpToDate>false</LinksUpToDate>
  <CharactersWithSpaces>6365</CharactersWithSpaces>
  <Application>WPS Office_11.1.0.12763_F1E327BC-269C-435d-A152-05C5408002CA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2019-08-01T01:14:00Z</dcterms:created>
  <dc:creator>张彬茜</dc:creator>
  <cp:lastModifiedBy>贺堃</cp:lastModifiedBy>
  <cp:lastPrinted>2020-08-19T09:57:00Z</cp:lastPrinted>
  <dcterms:modified xsi:type="dcterms:W3CDTF">2022-11-14T01:04:06Z</dcterms:modified>
  <dc:title>四川省***</dc:title>
  <cp:revision>57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KSOSaveFontToCloudKey">
    <vt:lpwstr>291572335_embed</vt:lpwstr>
  </property>
  <property fmtid="{D5CDD505-2E9C-101B-9397-08002B2CF9AE}" pid="4" name="ICV">
    <vt:lpwstr>EE322517613D40818D0E44D8ED58DBF2</vt:lpwstr>
  </property>
</Properties>
</file>